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6C46" w14:textId="77777777" w:rsidR="00144E78" w:rsidRPr="00BE1688" w:rsidRDefault="00144E78" w:rsidP="00144E78">
      <w:pPr>
        <w:pStyle w:val="NoSpacing"/>
        <w:jc w:val="center"/>
        <w:rPr>
          <w:rFonts w:ascii="Candara" w:hAnsi="Candara"/>
          <w:b/>
          <w:color w:val="002060"/>
          <w:sz w:val="28"/>
          <w:szCs w:val="28"/>
        </w:rPr>
      </w:pPr>
      <w:bookmarkStart w:id="0" w:name="_GoBack"/>
      <w:bookmarkEnd w:id="0"/>
    </w:p>
    <w:p w14:paraId="08629D8A" w14:textId="77777777" w:rsidR="00144E78" w:rsidRPr="00BE1688" w:rsidRDefault="00144E78" w:rsidP="00144E78">
      <w:pPr>
        <w:pStyle w:val="NoSpacing"/>
        <w:jc w:val="center"/>
        <w:rPr>
          <w:rFonts w:ascii="Candara" w:hAnsi="Candara"/>
          <w:b/>
          <w:color w:val="002060"/>
          <w:sz w:val="28"/>
          <w:szCs w:val="28"/>
        </w:rPr>
      </w:pPr>
      <w:r w:rsidRPr="00BE1688">
        <w:rPr>
          <w:rFonts w:ascii="Candara" w:hAnsi="Candara"/>
          <w:b/>
          <w:color w:val="002060"/>
          <w:sz w:val="28"/>
          <w:szCs w:val="28"/>
        </w:rPr>
        <w:t xml:space="preserve">Laurence </w:t>
      </w:r>
      <w:proofErr w:type="spellStart"/>
      <w:r w:rsidRPr="00BE1688">
        <w:rPr>
          <w:rFonts w:ascii="Candara" w:hAnsi="Candara"/>
          <w:b/>
          <w:color w:val="002060"/>
          <w:sz w:val="28"/>
          <w:szCs w:val="28"/>
        </w:rPr>
        <w:t>Fauth</w:t>
      </w:r>
      <w:proofErr w:type="spellEnd"/>
      <w:r w:rsidRPr="00BE1688">
        <w:rPr>
          <w:rStyle w:val="FootnoteReference"/>
          <w:rFonts w:ascii="Candara" w:hAnsi="Candara"/>
          <w:b/>
          <w:color w:val="002060"/>
          <w:sz w:val="28"/>
          <w:szCs w:val="28"/>
        </w:rPr>
        <w:footnoteReference w:id="1"/>
      </w:r>
    </w:p>
    <w:p w14:paraId="40B3C68E" w14:textId="77777777" w:rsidR="00147C2A" w:rsidRPr="00BE1688" w:rsidRDefault="00147C2A" w:rsidP="00147C2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ndara" w:hAnsi="Candara" w:cs="Arial"/>
          <w:b/>
          <w:color w:val="002060"/>
          <w:sz w:val="24"/>
          <w:szCs w:val="24"/>
        </w:rPr>
      </w:pPr>
      <w:r w:rsidRPr="00BE1688">
        <w:rPr>
          <w:rFonts w:ascii="Candara" w:hAnsi="Candara" w:cs="Arial"/>
          <w:b/>
          <w:color w:val="002060"/>
          <w:sz w:val="24"/>
          <w:szCs w:val="24"/>
        </w:rPr>
        <w:t>REPRESENTING INTERNATIONAL CIVIL SERVANTS SINCE 2002</w:t>
      </w:r>
    </w:p>
    <w:p w14:paraId="163DC45F" w14:textId="77777777" w:rsidR="00147C2A" w:rsidRPr="00BE1688" w:rsidRDefault="00147C2A" w:rsidP="00B13DE1">
      <w:pPr>
        <w:pStyle w:val="NoSpacing"/>
        <w:jc w:val="center"/>
        <w:rPr>
          <w:rFonts w:ascii="Candara" w:hAnsi="Candara"/>
          <w:b/>
          <w:color w:val="002060"/>
          <w:sz w:val="28"/>
          <w:szCs w:val="28"/>
        </w:rPr>
      </w:pPr>
    </w:p>
    <w:p w14:paraId="7CD32700" w14:textId="33CD5595" w:rsidR="00B13DE1" w:rsidRPr="00BE1688" w:rsidRDefault="00B13DE1" w:rsidP="00B13DE1">
      <w:pPr>
        <w:pStyle w:val="NoSpacing"/>
        <w:jc w:val="center"/>
        <w:rPr>
          <w:rFonts w:ascii="Candara" w:hAnsi="Candara"/>
          <w:b/>
          <w:color w:val="002060"/>
          <w:sz w:val="28"/>
          <w:szCs w:val="28"/>
        </w:rPr>
      </w:pPr>
      <w:r w:rsidRPr="00BE1688">
        <w:rPr>
          <w:rFonts w:ascii="Candara" w:hAnsi="Candara"/>
          <w:b/>
          <w:color w:val="002060"/>
          <w:sz w:val="28"/>
          <w:szCs w:val="28"/>
        </w:rPr>
        <w:t>Tips and Information Newsletter for International Civil Servants</w:t>
      </w:r>
    </w:p>
    <w:p w14:paraId="5D2782B5" w14:textId="77777777" w:rsidR="00B13DE1" w:rsidRPr="00BE1688" w:rsidRDefault="00B13DE1" w:rsidP="00B13DE1">
      <w:pPr>
        <w:pStyle w:val="NoSpacing"/>
        <w:jc w:val="center"/>
        <w:rPr>
          <w:rFonts w:ascii="Candara" w:hAnsi="Candara"/>
          <w:b/>
          <w:color w:val="002060"/>
          <w:sz w:val="28"/>
          <w:szCs w:val="28"/>
        </w:rPr>
      </w:pPr>
    </w:p>
    <w:p w14:paraId="22C6FFA1" w14:textId="73113DE8" w:rsidR="00B13DE1" w:rsidRPr="00BE1688" w:rsidRDefault="00786435" w:rsidP="00B13DE1">
      <w:pPr>
        <w:pStyle w:val="NoSpacing"/>
        <w:jc w:val="center"/>
        <w:rPr>
          <w:rFonts w:ascii="Candara" w:hAnsi="Candara"/>
          <w:b/>
          <w:color w:val="002060"/>
          <w:sz w:val="28"/>
          <w:szCs w:val="28"/>
        </w:rPr>
      </w:pPr>
      <w:r w:rsidRPr="00BE1688">
        <w:rPr>
          <w:rFonts w:ascii="Candara" w:hAnsi="Candara"/>
          <w:b/>
          <w:color w:val="002060"/>
          <w:sz w:val="28"/>
          <w:szCs w:val="28"/>
        </w:rPr>
        <w:t>September</w:t>
      </w:r>
      <w:r w:rsidR="00B13DE1" w:rsidRPr="00BE1688">
        <w:rPr>
          <w:rFonts w:ascii="Candara" w:hAnsi="Candara"/>
          <w:b/>
          <w:color w:val="002060"/>
          <w:sz w:val="28"/>
          <w:szCs w:val="28"/>
        </w:rPr>
        <w:t xml:space="preserve"> 2020</w:t>
      </w:r>
    </w:p>
    <w:p w14:paraId="08E8D865" w14:textId="4FCE35EA" w:rsidR="00B13DE1" w:rsidRPr="00A97CA0" w:rsidRDefault="00B13DE1" w:rsidP="00B13DE1">
      <w:pPr>
        <w:rPr>
          <w:rStyle w:val="Emphasis"/>
          <w:rFonts w:ascii="Century" w:hAnsi="Century"/>
          <w:sz w:val="24"/>
          <w:szCs w:val="24"/>
          <w:lang w:val="en-GB"/>
        </w:rPr>
      </w:pPr>
    </w:p>
    <w:p w14:paraId="280D7CC6" w14:textId="05515A68" w:rsidR="007C2038" w:rsidRPr="00A97CA0" w:rsidRDefault="005C7C46" w:rsidP="005C7C46">
      <w:pPr>
        <w:jc w:val="center"/>
        <w:rPr>
          <w:rStyle w:val="Emphasis"/>
          <w:rFonts w:ascii="Century" w:hAnsi="Century"/>
          <w:sz w:val="24"/>
          <w:szCs w:val="24"/>
          <w:lang w:val="en-GB"/>
        </w:rPr>
      </w:pPr>
      <w:r>
        <w:rPr>
          <w:rStyle w:val="Emphasis"/>
          <w:rFonts w:ascii="Century" w:hAnsi="Century"/>
          <w:sz w:val="24"/>
          <w:szCs w:val="24"/>
          <w:lang w:val="en-GB"/>
        </w:rPr>
        <w:t xml:space="preserve">ILO Administrative Tribunal Provides Guidance on Proving </w:t>
      </w:r>
      <w:r w:rsidR="00222604">
        <w:rPr>
          <w:rStyle w:val="Emphasis"/>
          <w:rFonts w:ascii="Century" w:hAnsi="Century"/>
          <w:sz w:val="24"/>
          <w:szCs w:val="24"/>
          <w:lang w:val="en-GB"/>
        </w:rPr>
        <w:t xml:space="preserve">He Said/She Said </w:t>
      </w:r>
      <w:r>
        <w:rPr>
          <w:rStyle w:val="Emphasis"/>
          <w:rFonts w:ascii="Century" w:hAnsi="Century"/>
          <w:sz w:val="24"/>
          <w:szCs w:val="24"/>
          <w:lang w:val="en-GB"/>
        </w:rPr>
        <w:t xml:space="preserve">Sexual Harassment Claims in Judgment No. </w:t>
      </w:r>
      <w:r w:rsidR="000321AC">
        <w:rPr>
          <w:rStyle w:val="Emphasis"/>
          <w:rFonts w:ascii="Century" w:hAnsi="Century"/>
          <w:sz w:val="24"/>
          <w:szCs w:val="24"/>
          <w:lang w:val="en-GB"/>
        </w:rPr>
        <w:t>4207</w:t>
      </w:r>
      <w:r w:rsidR="001D63C8">
        <w:rPr>
          <w:rStyle w:val="Emphasis"/>
          <w:rFonts w:ascii="Century" w:hAnsi="Century"/>
          <w:sz w:val="24"/>
          <w:szCs w:val="24"/>
          <w:lang w:val="en-GB"/>
        </w:rPr>
        <w:t xml:space="preserve"> </w:t>
      </w:r>
      <w:r w:rsidR="004E7413">
        <w:rPr>
          <w:rStyle w:val="Emphasis"/>
          <w:rFonts w:ascii="Century" w:hAnsi="Century"/>
          <w:sz w:val="24"/>
          <w:szCs w:val="24"/>
          <w:lang w:val="en-GB"/>
        </w:rPr>
        <w:t>(</w:t>
      </w:r>
      <w:r w:rsidR="004829A6">
        <w:rPr>
          <w:rStyle w:val="Emphasis"/>
          <w:rFonts w:ascii="Century" w:hAnsi="Century"/>
          <w:sz w:val="24"/>
          <w:szCs w:val="24"/>
          <w:lang w:val="en-GB"/>
        </w:rPr>
        <w:t xml:space="preserve">sitting </w:t>
      </w:r>
      <w:proofErr w:type="spellStart"/>
      <w:r w:rsidR="004E7413">
        <w:rPr>
          <w:rStyle w:val="Emphasis"/>
          <w:rFonts w:ascii="Century" w:hAnsi="Century"/>
          <w:sz w:val="24"/>
          <w:szCs w:val="24"/>
          <w:lang w:val="en-GB"/>
        </w:rPr>
        <w:t>en</w:t>
      </w:r>
      <w:proofErr w:type="spellEnd"/>
      <w:r w:rsidR="004E7413">
        <w:rPr>
          <w:rStyle w:val="Emphasis"/>
          <w:rFonts w:ascii="Century" w:hAnsi="Century"/>
          <w:sz w:val="24"/>
          <w:szCs w:val="24"/>
          <w:lang w:val="en-GB"/>
        </w:rPr>
        <w:t xml:space="preserve"> banc) </w:t>
      </w:r>
    </w:p>
    <w:p w14:paraId="28788256" w14:textId="22E79D04" w:rsidR="007B48C1" w:rsidRDefault="007B48C1" w:rsidP="00282525">
      <w:pPr>
        <w:pStyle w:val="NoSpacing"/>
        <w:rPr>
          <w:rFonts w:ascii="Century" w:hAnsi="Century"/>
          <w:b/>
          <w:sz w:val="24"/>
          <w:szCs w:val="24"/>
        </w:rPr>
      </w:pPr>
    </w:p>
    <w:p w14:paraId="2A7F6D88" w14:textId="413A1963" w:rsidR="00282525" w:rsidRPr="00282525" w:rsidRDefault="00282525" w:rsidP="00282525">
      <w:pPr>
        <w:pStyle w:val="NoSpacing"/>
        <w:rPr>
          <w:rFonts w:asciiTheme="majorHAnsi" w:hAnsiTheme="majorHAnsi" w:cstheme="majorHAnsi"/>
          <w:b/>
          <w:sz w:val="24"/>
          <w:szCs w:val="24"/>
        </w:rPr>
      </w:pPr>
      <w:r w:rsidRPr="00282525">
        <w:rPr>
          <w:rFonts w:asciiTheme="majorHAnsi" w:hAnsiTheme="majorHAnsi" w:cstheme="majorHAnsi"/>
          <w:b/>
          <w:sz w:val="24"/>
          <w:szCs w:val="24"/>
        </w:rPr>
        <w:t>In Brief</w:t>
      </w:r>
    </w:p>
    <w:p w14:paraId="6CECC2DA" w14:textId="77777777" w:rsidR="00282525" w:rsidRPr="00282525" w:rsidRDefault="00282525" w:rsidP="00282525">
      <w:pPr>
        <w:pStyle w:val="NoSpacing"/>
        <w:rPr>
          <w:rFonts w:asciiTheme="majorHAnsi" w:hAnsiTheme="majorHAnsi" w:cstheme="majorHAnsi"/>
          <w:b/>
          <w:sz w:val="24"/>
          <w:szCs w:val="24"/>
        </w:rPr>
      </w:pPr>
    </w:p>
    <w:p w14:paraId="2289AC43" w14:textId="1F5BB200" w:rsidR="008C548E" w:rsidRPr="00282525" w:rsidRDefault="00D7554F" w:rsidP="007B48C1">
      <w:pPr>
        <w:jc w:val="both"/>
        <w:rPr>
          <w:rStyle w:val="Emphasis"/>
          <w:rFonts w:asciiTheme="majorHAnsi" w:hAnsiTheme="majorHAnsi" w:cstheme="majorHAnsi"/>
          <w:i w:val="0"/>
          <w:sz w:val="24"/>
          <w:szCs w:val="24"/>
          <w:lang w:val="en-GB"/>
        </w:rPr>
      </w:pPr>
      <w:r w:rsidRPr="00282525">
        <w:rPr>
          <w:rStyle w:val="Emphasis"/>
          <w:rFonts w:asciiTheme="majorHAnsi" w:hAnsiTheme="majorHAnsi" w:cstheme="majorHAnsi"/>
          <w:i w:val="0"/>
          <w:sz w:val="24"/>
          <w:szCs w:val="24"/>
          <w:lang w:val="en-GB"/>
        </w:rPr>
        <w:t>The ILO Administrative Tribunal</w:t>
      </w:r>
      <w:r w:rsidR="004E7413" w:rsidRPr="00282525">
        <w:rPr>
          <w:rStyle w:val="Emphasis"/>
          <w:rFonts w:asciiTheme="majorHAnsi" w:hAnsiTheme="majorHAnsi" w:cstheme="majorHAnsi"/>
          <w:i w:val="0"/>
          <w:sz w:val="24"/>
          <w:szCs w:val="24"/>
          <w:lang w:val="en-GB"/>
        </w:rPr>
        <w:t xml:space="preserve">, with all </w:t>
      </w:r>
      <w:r w:rsidR="00786435" w:rsidRPr="00282525">
        <w:rPr>
          <w:rStyle w:val="Emphasis"/>
          <w:rFonts w:asciiTheme="majorHAnsi" w:hAnsiTheme="majorHAnsi" w:cstheme="majorHAnsi"/>
          <w:i w:val="0"/>
          <w:sz w:val="24"/>
          <w:szCs w:val="24"/>
          <w:lang w:val="en-GB"/>
        </w:rPr>
        <w:t xml:space="preserve">seven (7) </w:t>
      </w:r>
      <w:r w:rsidR="004E7413" w:rsidRPr="00282525">
        <w:rPr>
          <w:rStyle w:val="Emphasis"/>
          <w:rFonts w:asciiTheme="majorHAnsi" w:hAnsiTheme="majorHAnsi" w:cstheme="majorHAnsi"/>
          <w:i w:val="0"/>
          <w:sz w:val="24"/>
          <w:szCs w:val="24"/>
          <w:lang w:val="en-GB"/>
        </w:rPr>
        <w:t xml:space="preserve">Judges signing the judgment, </w:t>
      </w:r>
      <w:r w:rsidRPr="00282525">
        <w:rPr>
          <w:rStyle w:val="Emphasis"/>
          <w:rFonts w:asciiTheme="majorHAnsi" w:hAnsiTheme="majorHAnsi" w:cstheme="majorHAnsi"/>
          <w:i w:val="0"/>
          <w:sz w:val="24"/>
          <w:szCs w:val="24"/>
          <w:lang w:val="en-GB"/>
        </w:rPr>
        <w:t xml:space="preserve">recently decided an appeal </w:t>
      </w:r>
      <w:r w:rsidR="00DA367D" w:rsidRPr="00282525">
        <w:rPr>
          <w:rStyle w:val="Emphasis"/>
          <w:rFonts w:asciiTheme="majorHAnsi" w:hAnsiTheme="majorHAnsi" w:cstheme="majorHAnsi"/>
          <w:i w:val="0"/>
          <w:sz w:val="24"/>
          <w:szCs w:val="24"/>
          <w:lang w:val="en-GB"/>
        </w:rPr>
        <w:t xml:space="preserve">in favour of a victim of sexual harassment at the IAEA.  At the relevant time, the </w:t>
      </w:r>
      <w:r w:rsidR="004E7413" w:rsidRPr="00282525">
        <w:rPr>
          <w:rStyle w:val="Emphasis"/>
          <w:rFonts w:asciiTheme="majorHAnsi" w:hAnsiTheme="majorHAnsi" w:cstheme="majorHAnsi"/>
          <w:i w:val="0"/>
          <w:sz w:val="24"/>
          <w:szCs w:val="24"/>
          <w:lang w:val="en-GB"/>
        </w:rPr>
        <w:t xml:space="preserve">female </w:t>
      </w:r>
      <w:r w:rsidR="00DA367D" w:rsidRPr="00282525">
        <w:rPr>
          <w:rStyle w:val="Emphasis"/>
          <w:rFonts w:asciiTheme="majorHAnsi" w:hAnsiTheme="majorHAnsi" w:cstheme="majorHAnsi"/>
          <w:i w:val="0"/>
          <w:sz w:val="24"/>
          <w:szCs w:val="24"/>
          <w:lang w:val="en-GB"/>
        </w:rPr>
        <w:t xml:space="preserve">victim was a </w:t>
      </w:r>
      <w:r w:rsidR="004E7413" w:rsidRPr="00282525">
        <w:rPr>
          <w:rStyle w:val="Emphasis"/>
          <w:rFonts w:asciiTheme="majorHAnsi" w:hAnsiTheme="majorHAnsi" w:cstheme="majorHAnsi"/>
          <w:i w:val="0"/>
          <w:sz w:val="24"/>
          <w:szCs w:val="24"/>
          <w:lang w:val="en-GB"/>
        </w:rPr>
        <w:t xml:space="preserve">G-4 staff member </w:t>
      </w:r>
      <w:r w:rsidR="00DA367D" w:rsidRPr="00282525">
        <w:rPr>
          <w:rStyle w:val="Emphasis"/>
          <w:rFonts w:asciiTheme="majorHAnsi" w:hAnsiTheme="majorHAnsi" w:cstheme="majorHAnsi"/>
          <w:i w:val="0"/>
          <w:sz w:val="24"/>
          <w:szCs w:val="24"/>
          <w:lang w:val="en-GB"/>
        </w:rPr>
        <w:t xml:space="preserve">and the </w:t>
      </w:r>
      <w:r w:rsidR="00786435" w:rsidRPr="00282525">
        <w:rPr>
          <w:rStyle w:val="Emphasis"/>
          <w:rFonts w:asciiTheme="majorHAnsi" w:hAnsiTheme="majorHAnsi" w:cstheme="majorHAnsi"/>
          <w:i w:val="0"/>
          <w:sz w:val="24"/>
          <w:szCs w:val="24"/>
          <w:lang w:val="en-GB"/>
        </w:rPr>
        <w:t>perpetrator</w:t>
      </w:r>
      <w:r w:rsidR="00DA367D" w:rsidRPr="00282525">
        <w:rPr>
          <w:rStyle w:val="Emphasis"/>
          <w:rFonts w:asciiTheme="majorHAnsi" w:hAnsiTheme="majorHAnsi" w:cstheme="majorHAnsi"/>
          <w:i w:val="0"/>
          <w:sz w:val="24"/>
          <w:szCs w:val="24"/>
          <w:lang w:val="en-GB"/>
        </w:rPr>
        <w:t xml:space="preserve"> a senior officer at the P-5 level.</w:t>
      </w:r>
      <w:r w:rsidR="000321AC" w:rsidRPr="00282525">
        <w:rPr>
          <w:rStyle w:val="Emphasis"/>
          <w:rFonts w:asciiTheme="majorHAnsi" w:hAnsiTheme="majorHAnsi" w:cstheme="majorHAnsi"/>
          <w:i w:val="0"/>
          <w:sz w:val="24"/>
          <w:szCs w:val="24"/>
          <w:lang w:val="en-GB"/>
        </w:rPr>
        <w:t xml:space="preserve">  The</w:t>
      </w:r>
      <w:r w:rsidR="00B878D0" w:rsidRPr="00282525">
        <w:rPr>
          <w:rStyle w:val="Emphasis"/>
          <w:rFonts w:asciiTheme="majorHAnsi" w:hAnsiTheme="majorHAnsi" w:cstheme="majorHAnsi"/>
          <w:i w:val="0"/>
          <w:sz w:val="24"/>
          <w:szCs w:val="24"/>
          <w:lang w:val="en-GB"/>
        </w:rPr>
        <w:t xml:space="preserve"> Tribunal found that, although there were no witnesses to the alleged sexual harassmen</w:t>
      </w:r>
      <w:r w:rsidR="00F92BB7" w:rsidRPr="00282525">
        <w:rPr>
          <w:rStyle w:val="Emphasis"/>
          <w:rFonts w:asciiTheme="majorHAnsi" w:hAnsiTheme="majorHAnsi" w:cstheme="majorHAnsi"/>
          <w:i w:val="0"/>
          <w:sz w:val="24"/>
          <w:szCs w:val="24"/>
          <w:lang w:val="en-GB"/>
        </w:rPr>
        <w:t>t</w:t>
      </w:r>
      <w:r w:rsidR="00B878D0" w:rsidRPr="00282525">
        <w:rPr>
          <w:rStyle w:val="Emphasis"/>
          <w:rFonts w:asciiTheme="majorHAnsi" w:hAnsiTheme="majorHAnsi" w:cstheme="majorHAnsi"/>
          <w:i w:val="0"/>
          <w:sz w:val="24"/>
          <w:szCs w:val="24"/>
          <w:lang w:val="en-GB"/>
        </w:rPr>
        <w:t xml:space="preserve">, there were significant factors </w:t>
      </w:r>
      <w:r w:rsidR="00F92BB7" w:rsidRPr="00282525">
        <w:rPr>
          <w:rStyle w:val="Emphasis"/>
          <w:rFonts w:asciiTheme="majorHAnsi" w:hAnsiTheme="majorHAnsi" w:cstheme="majorHAnsi"/>
          <w:i w:val="0"/>
          <w:sz w:val="24"/>
          <w:szCs w:val="24"/>
          <w:lang w:val="en-GB"/>
        </w:rPr>
        <w:t xml:space="preserve">present that </w:t>
      </w:r>
      <w:r w:rsidR="00282525">
        <w:rPr>
          <w:rStyle w:val="Emphasis"/>
          <w:rFonts w:asciiTheme="majorHAnsi" w:hAnsiTheme="majorHAnsi" w:cstheme="majorHAnsi"/>
          <w:i w:val="0"/>
          <w:sz w:val="24"/>
          <w:szCs w:val="24"/>
          <w:lang w:val="en-GB"/>
        </w:rPr>
        <w:t>substantiated the allegations</w:t>
      </w:r>
      <w:r w:rsidR="00F92BB7" w:rsidRPr="00282525">
        <w:rPr>
          <w:rStyle w:val="Emphasis"/>
          <w:rFonts w:asciiTheme="majorHAnsi" w:hAnsiTheme="majorHAnsi" w:cstheme="majorHAnsi"/>
          <w:i w:val="0"/>
          <w:sz w:val="24"/>
          <w:szCs w:val="24"/>
          <w:lang w:val="en-GB"/>
        </w:rPr>
        <w:t xml:space="preserve">.  The Tribunal clarified </w:t>
      </w:r>
      <w:r w:rsidR="008C548E" w:rsidRPr="00282525">
        <w:rPr>
          <w:rStyle w:val="Emphasis"/>
          <w:rFonts w:asciiTheme="majorHAnsi" w:hAnsiTheme="majorHAnsi" w:cstheme="majorHAnsi"/>
          <w:i w:val="0"/>
          <w:sz w:val="24"/>
          <w:szCs w:val="24"/>
          <w:lang w:val="en-GB"/>
        </w:rPr>
        <w:t xml:space="preserve">the law in this area and </w:t>
      </w:r>
      <w:r w:rsidR="00DA367D" w:rsidRPr="00282525">
        <w:rPr>
          <w:rStyle w:val="Emphasis"/>
          <w:rFonts w:asciiTheme="majorHAnsi" w:hAnsiTheme="majorHAnsi" w:cstheme="majorHAnsi"/>
          <w:i w:val="0"/>
          <w:sz w:val="24"/>
          <w:szCs w:val="24"/>
          <w:lang w:val="en-GB"/>
        </w:rPr>
        <w:t xml:space="preserve">thus </w:t>
      </w:r>
      <w:r w:rsidR="009A367D" w:rsidRPr="00282525">
        <w:rPr>
          <w:rStyle w:val="Emphasis"/>
          <w:rFonts w:asciiTheme="majorHAnsi" w:hAnsiTheme="majorHAnsi" w:cstheme="majorHAnsi"/>
          <w:i w:val="0"/>
          <w:sz w:val="24"/>
          <w:szCs w:val="24"/>
          <w:lang w:val="en-GB"/>
        </w:rPr>
        <w:t xml:space="preserve">has given </w:t>
      </w:r>
      <w:r w:rsidR="00FD3700" w:rsidRPr="00282525">
        <w:rPr>
          <w:rStyle w:val="Emphasis"/>
          <w:rFonts w:asciiTheme="majorHAnsi" w:hAnsiTheme="majorHAnsi" w:cstheme="majorHAnsi"/>
          <w:i w:val="0"/>
          <w:sz w:val="24"/>
          <w:szCs w:val="24"/>
          <w:lang w:val="en-GB"/>
        </w:rPr>
        <w:t>important</w:t>
      </w:r>
      <w:r w:rsidR="009A367D" w:rsidRPr="00282525">
        <w:rPr>
          <w:rStyle w:val="Emphasis"/>
          <w:rFonts w:asciiTheme="majorHAnsi" w:hAnsiTheme="majorHAnsi" w:cstheme="majorHAnsi"/>
          <w:i w:val="0"/>
          <w:sz w:val="24"/>
          <w:szCs w:val="24"/>
          <w:lang w:val="en-GB"/>
        </w:rPr>
        <w:t xml:space="preserve"> </w:t>
      </w:r>
      <w:r w:rsidR="008C548E" w:rsidRPr="00282525">
        <w:rPr>
          <w:rStyle w:val="Emphasis"/>
          <w:rFonts w:asciiTheme="majorHAnsi" w:hAnsiTheme="majorHAnsi" w:cstheme="majorHAnsi"/>
          <w:i w:val="0"/>
          <w:sz w:val="24"/>
          <w:szCs w:val="24"/>
          <w:lang w:val="en-GB"/>
        </w:rPr>
        <w:t xml:space="preserve">guidance for victims of sexual harassment </w:t>
      </w:r>
      <w:r w:rsidR="00E36493">
        <w:rPr>
          <w:rStyle w:val="Emphasis"/>
          <w:rFonts w:asciiTheme="majorHAnsi" w:hAnsiTheme="majorHAnsi" w:cstheme="majorHAnsi"/>
          <w:i w:val="0"/>
          <w:sz w:val="24"/>
          <w:szCs w:val="24"/>
          <w:lang w:val="en-GB"/>
        </w:rPr>
        <w:t xml:space="preserve">as to how to prove their allegations </w:t>
      </w:r>
      <w:r w:rsidR="008C548E" w:rsidRPr="00282525">
        <w:rPr>
          <w:rStyle w:val="Emphasis"/>
          <w:rFonts w:asciiTheme="majorHAnsi" w:hAnsiTheme="majorHAnsi" w:cstheme="majorHAnsi"/>
          <w:i w:val="0"/>
          <w:sz w:val="24"/>
          <w:szCs w:val="24"/>
          <w:lang w:val="en-GB"/>
        </w:rPr>
        <w:t>where there are no direct witnesses, i.e., in cases of he said/she said sexual harassment.</w:t>
      </w:r>
      <w:r w:rsidR="00786435" w:rsidRPr="00282525">
        <w:rPr>
          <w:rStyle w:val="Emphasis"/>
          <w:rFonts w:asciiTheme="majorHAnsi" w:hAnsiTheme="majorHAnsi" w:cstheme="majorHAnsi"/>
          <w:i w:val="0"/>
          <w:sz w:val="24"/>
          <w:szCs w:val="24"/>
          <w:lang w:val="en-GB"/>
        </w:rPr>
        <w:t xml:space="preserve">  In particular, the Tribunal made it clear that a victim of harassment does not have to prove the case beyond a reasonable </w:t>
      </w:r>
      <w:proofErr w:type="gramStart"/>
      <w:r w:rsidR="00786435" w:rsidRPr="00282525">
        <w:rPr>
          <w:rStyle w:val="Emphasis"/>
          <w:rFonts w:asciiTheme="majorHAnsi" w:hAnsiTheme="majorHAnsi" w:cstheme="majorHAnsi"/>
          <w:i w:val="0"/>
          <w:sz w:val="24"/>
          <w:szCs w:val="24"/>
          <w:lang w:val="en-GB"/>
        </w:rPr>
        <w:t>doubt,</w:t>
      </w:r>
      <w:r w:rsidR="0059095B">
        <w:rPr>
          <w:rStyle w:val="Emphasis"/>
          <w:rFonts w:asciiTheme="majorHAnsi" w:hAnsiTheme="majorHAnsi" w:cstheme="majorHAnsi"/>
          <w:i w:val="0"/>
          <w:sz w:val="24"/>
          <w:szCs w:val="24"/>
          <w:lang w:val="en-GB"/>
        </w:rPr>
        <w:t xml:space="preserve"> </w:t>
      </w:r>
      <w:r w:rsidR="00786435" w:rsidRPr="00282525">
        <w:rPr>
          <w:rStyle w:val="Emphasis"/>
          <w:rFonts w:asciiTheme="majorHAnsi" w:hAnsiTheme="majorHAnsi" w:cstheme="majorHAnsi"/>
          <w:i w:val="0"/>
          <w:sz w:val="24"/>
          <w:szCs w:val="24"/>
          <w:lang w:val="en-GB"/>
        </w:rPr>
        <w:t>and</w:t>
      </w:r>
      <w:proofErr w:type="gramEnd"/>
      <w:r w:rsidR="00786435" w:rsidRPr="00282525">
        <w:rPr>
          <w:rStyle w:val="Emphasis"/>
          <w:rFonts w:asciiTheme="majorHAnsi" w:hAnsiTheme="majorHAnsi" w:cstheme="majorHAnsi"/>
          <w:i w:val="0"/>
          <w:sz w:val="24"/>
          <w:szCs w:val="24"/>
          <w:lang w:val="en-GB"/>
        </w:rPr>
        <w:t xml:space="preserve"> reiterated its longstanding caselaw that the victim need not prove the harasser acted with intent.</w:t>
      </w:r>
    </w:p>
    <w:p w14:paraId="2174A29A" w14:textId="46A47523" w:rsidR="00282525" w:rsidRPr="00282525" w:rsidRDefault="00282525" w:rsidP="007B48C1">
      <w:pPr>
        <w:jc w:val="both"/>
        <w:rPr>
          <w:rStyle w:val="Emphasis"/>
          <w:rFonts w:asciiTheme="majorHAnsi" w:hAnsiTheme="majorHAnsi" w:cstheme="majorHAnsi"/>
          <w:b/>
          <w:i w:val="0"/>
          <w:sz w:val="24"/>
          <w:szCs w:val="24"/>
          <w:lang w:val="en-GB"/>
        </w:rPr>
      </w:pPr>
      <w:r w:rsidRPr="00282525">
        <w:rPr>
          <w:rStyle w:val="Emphasis"/>
          <w:rFonts w:asciiTheme="majorHAnsi" w:hAnsiTheme="majorHAnsi" w:cstheme="majorHAnsi"/>
          <w:b/>
          <w:i w:val="0"/>
          <w:sz w:val="24"/>
          <w:szCs w:val="24"/>
          <w:lang w:val="en-GB"/>
        </w:rPr>
        <w:t>Facts and Decision</w:t>
      </w:r>
    </w:p>
    <w:p w14:paraId="5727E338" w14:textId="7F2E76C1" w:rsidR="004E7413" w:rsidRPr="00282525" w:rsidRDefault="000962B2" w:rsidP="00B5228D">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In </w:t>
      </w:r>
      <w:r w:rsidR="007A5B74" w:rsidRPr="00282525">
        <w:rPr>
          <w:rStyle w:val="Emphasis"/>
          <w:rFonts w:asciiTheme="majorHAnsi" w:hAnsiTheme="majorHAnsi" w:cstheme="majorHAnsi"/>
          <w:i w:val="0"/>
        </w:rPr>
        <w:t xml:space="preserve">early </w:t>
      </w:r>
      <w:r w:rsidRPr="00282525">
        <w:rPr>
          <w:rStyle w:val="Emphasis"/>
          <w:rFonts w:asciiTheme="majorHAnsi" w:hAnsiTheme="majorHAnsi" w:cstheme="majorHAnsi"/>
          <w:i w:val="0"/>
        </w:rPr>
        <w:t>January 2015, t</w:t>
      </w:r>
      <w:r w:rsidR="001C772D" w:rsidRPr="00282525">
        <w:rPr>
          <w:rStyle w:val="Emphasis"/>
          <w:rFonts w:asciiTheme="majorHAnsi" w:hAnsiTheme="majorHAnsi" w:cstheme="majorHAnsi"/>
          <w:i w:val="0"/>
        </w:rPr>
        <w:t xml:space="preserve">he P-5 </w:t>
      </w:r>
      <w:r w:rsidR="008912C3" w:rsidRPr="00282525">
        <w:rPr>
          <w:rStyle w:val="Emphasis"/>
          <w:rFonts w:asciiTheme="majorHAnsi" w:hAnsiTheme="majorHAnsi" w:cstheme="majorHAnsi"/>
          <w:i w:val="0"/>
        </w:rPr>
        <w:t>senior officer joined the Agency</w:t>
      </w:r>
      <w:r w:rsidR="00702091" w:rsidRPr="00282525">
        <w:rPr>
          <w:rStyle w:val="Emphasis"/>
          <w:rFonts w:asciiTheme="majorHAnsi" w:hAnsiTheme="majorHAnsi" w:cstheme="majorHAnsi"/>
          <w:i w:val="0"/>
        </w:rPr>
        <w:t xml:space="preserve"> and </w:t>
      </w:r>
      <w:r w:rsidR="001E0931" w:rsidRPr="00282525">
        <w:rPr>
          <w:rStyle w:val="Emphasis"/>
          <w:rFonts w:asciiTheme="majorHAnsi" w:hAnsiTheme="majorHAnsi" w:cstheme="majorHAnsi"/>
          <w:i w:val="0"/>
        </w:rPr>
        <w:t>on</w:t>
      </w:r>
      <w:r w:rsidR="007A5B74" w:rsidRPr="00282525">
        <w:rPr>
          <w:rStyle w:val="Emphasis"/>
          <w:rFonts w:asciiTheme="majorHAnsi" w:hAnsiTheme="majorHAnsi" w:cstheme="majorHAnsi"/>
          <w:i w:val="0"/>
        </w:rPr>
        <w:t xml:space="preserve"> </w:t>
      </w:r>
      <w:r w:rsidR="001E0931" w:rsidRPr="00282525">
        <w:rPr>
          <w:rStyle w:val="Emphasis"/>
          <w:rFonts w:asciiTheme="majorHAnsi" w:hAnsiTheme="majorHAnsi" w:cstheme="majorHAnsi"/>
          <w:i w:val="0"/>
        </w:rPr>
        <w:t>20</w:t>
      </w:r>
      <w:r w:rsidR="007A5B74" w:rsidRPr="00282525">
        <w:rPr>
          <w:rStyle w:val="Emphasis"/>
          <w:rFonts w:asciiTheme="majorHAnsi" w:hAnsiTheme="majorHAnsi" w:cstheme="majorHAnsi"/>
          <w:i w:val="0"/>
        </w:rPr>
        <w:t xml:space="preserve"> </w:t>
      </w:r>
      <w:r w:rsidR="00282525" w:rsidRPr="00282525">
        <w:rPr>
          <w:rStyle w:val="Emphasis"/>
          <w:rFonts w:asciiTheme="majorHAnsi" w:hAnsiTheme="majorHAnsi" w:cstheme="majorHAnsi"/>
          <w:i w:val="0"/>
        </w:rPr>
        <w:t>February</w:t>
      </w:r>
      <w:r w:rsidR="007A5B74" w:rsidRPr="00282525">
        <w:rPr>
          <w:rStyle w:val="Emphasis"/>
          <w:rFonts w:asciiTheme="majorHAnsi" w:hAnsiTheme="majorHAnsi" w:cstheme="majorHAnsi"/>
          <w:i w:val="0"/>
        </w:rPr>
        <w:t xml:space="preserve"> the victim </w:t>
      </w:r>
      <w:r w:rsidR="001E0931" w:rsidRPr="00282525">
        <w:rPr>
          <w:rStyle w:val="Emphasis"/>
          <w:rFonts w:asciiTheme="majorHAnsi" w:hAnsiTheme="majorHAnsi" w:cstheme="majorHAnsi"/>
          <w:i w:val="0"/>
        </w:rPr>
        <w:t xml:space="preserve">reported </w:t>
      </w:r>
      <w:r w:rsidR="007A5B74" w:rsidRPr="00282525">
        <w:rPr>
          <w:rStyle w:val="Emphasis"/>
          <w:rFonts w:asciiTheme="majorHAnsi" w:hAnsiTheme="majorHAnsi" w:cstheme="majorHAnsi"/>
          <w:i w:val="0"/>
        </w:rPr>
        <w:t xml:space="preserve">sexual harassment </w:t>
      </w:r>
      <w:r w:rsidR="004E7413" w:rsidRPr="00282525">
        <w:rPr>
          <w:rStyle w:val="Emphasis"/>
          <w:rFonts w:asciiTheme="majorHAnsi" w:hAnsiTheme="majorHAnsi" w:cstheme="majorHAnsi"/>
          <w:i w:val="0"/>
        </w:rPr>
        <w:t xml:space="preserve">against him </w:t>
      </w:r>
      <w:r w:rsidR="001E0931" w:rsidRPr="00282525">
        <w:rPr>
          <w:rStyle w:val="Emphasis"/>
          <w:rFonts w:asciiTheme="majorHAnsi" w:hAnsiTheme="majorHAnsi" w:cstheme="majorHAnsi"/>
          <w:i w:val="0"/>
        </w:rPr>
        <w:t xml:space="preserve">to </w:t>
      </w:r>
      <w:r w:rsidR="00337850" w:rsidRPr="00282525">
        <w:rPr>
          <w:rStyle w:val="Emphasis"/>
          <w:rFonts w:asciiTheme="majorHAnsi" w:hAnsiTheme="majorHAnsi" w:cstheme="majorHAnsi"/>
          <w:i w:val="0"/>
        </w:rPr>
        <w:t>the acting section head</w:t>
      </w:r>
      <w:r w:rsidR="00B5228D" w:rsidRPr="00282525">
        <w:rPr>
          <w:rStyle w:val="Emphasis"/>
          <w:rFonts w:asciiTheme="majorHAnsi" w:hAnsiTheme="majorHAnsi" w:cstheme="majorHAnsi"/>
          <w:i w:val="0"/>
        </w:rPr>
        <w:t xml:space="preserve"> involving a “</w:t>
      </w:r>
      <w:r w:rsidR="00B5228D" w:rsidRPr="00282525">
        <w:rPr>
          <w:rFonts w:asciiTheme="majorHAnsi" w:hAnsiTheme="majorHAnsi" w:cstheme="majorHAnsi"/>
        </w:rPr>
        <w:t>persisting pattern of unwelcome behaviour that made her feel uncomfortable and unsafe”</w:t>
      </w:r>
      <w:r w:rsidR="001E0931" w:rsidRPr="00282525">
        <w:rPr>
          <w:rStyle w:val="Emphasis"/>
          <w:rFonts w:asciiTheme="majorHAnsi" w:hAnsiTheme="majorHAnsi" w:cstheme="majorHAnsi"/>
          <w:i w:val="0"/>
        </w:rPr>
        <w:t xml:space="preserve">, and </w:t>
      </w:r>
      <w:r w:rsidR="005D5B3D" w:rsidRPr="00282525">
        <w:rPr>
          <w:rStyle w:val="Emphasis"/>
          <w:rFonts w:asciiTheme="majorHAnsi" w:hAnsiTheme="majorHAnsi" w:cstheme="majorHAnsi"/>
          <w:i w:val="0"/>
        </w:rPr>
        <w:t xml:space="preserve">on 23 February met with the </w:t>
      </w:r>
      <w:r w:rsidR="00C9468B" w:rsidRPr="00282525">
        <w:rPr>
          <w:rStyle w:val="Emphasis"/>
          <w:rFonts w:asciiTheme="majorHAnsi" w:hAnsiTheme="majorHAnsi" w:cstheme="majorHAnsi"/>
          <w:i w:val="0"/>
        </w:rPr>
        <w:t>s</w:t>
      </w:r>
      <w:r w:rsidR="005D5B3D" w:rsidRPr="00282525">
        <w:rPr>
          <w:rStyle w:val="Emphasis"/>
          <w:rFonts w:asciiTheme="majorHAnsi" w:hAnsiTheme="majorHAnsi" w:cstheme="majorHAnsi"/>
          <w:i w:val="0"/>
        </w:rPr>
        <w:t xml:space="preserve">taff </w:t>
      </w:r>
      <w:r w:rsidR="00C9468B" w:rsidRPr="00282525">
        <w:rPr>
          <w:rStyle w:val="Emphasis"/>
          <w:rFonts w:asciiTheme="majorHAnsi" w:hAnsiTheme="majorHAnsi" w:cstheme="majorHAnsi"/>
          <w:i w:val="0"/>
        </w:rPr>
        <w:t>c</w:t>
      </w:r>
      <w:r w:rsidR="005D5B3D" w:rsidRPr="00282525">
        <w:rPr>
          <w:rStyle w:val="Emphasis"/>
          <w:rFonts w:asciiTheme="majorHAnsi" w:hAnsiTheme="majorHAnsi" w:cstheme="majorHAnsi"/>
          <w:i w:val="0"/>
        </w:rPr>
        <w:t>ounsel</w:t>
      </w:r>
      <w:r w:rsidR="00C9468B" w:rsidRPr="00282525">
        <w:rPr>
          <w:rStyle w:val="Emphasis"/>
          <w:rFonts w:asciiTheme="majorHAnsi" w:hAnsiTheme="majorHAnsi" w:cstheme="majorHAnsi"/>
          <w:i w:val="0"/>
        </w:rPr>
        <w:t>l</w:t>
      </w:r>
      <w:r w:rsidR="005D5B3D" w:rsidRPr="00282525">
        <w:rPr>
          <w:rStyle w:val="Emphasis"/>
          <w:rFonts w:asciiTheme="majorHAnsi" w:hAnsiTheme="majorHAnsi" w:cstheme="majorHAnsi"/>
          <w:i w:val="0"/>
        </w:rPr>
        <w:t>or</w:t>
      </w:r>
      <w:r w:rsidR="00A96ED2" w:rsidRPr="00282525">
        <w:rPr>
          <w:rStyle w:val="Emphasis"/>
          <w:rFonts w:asciiTheme="majorHAnsi" w:hAnsiTheme="majorHAnsi" w:cstheme="majorHAnsi"/>
          <w:i w:val="0"/>
        </w:rPr>
        <w:t xml:space="preserve">, who advised that </w:t>
      </w:r>
      <w:r w:rsidR="00C9468B" w:rsidRPr="00282525">
        <w:rPr>
          <w:rStyle w:val="Emphasis"/>
          <w:rFonts w:asciiTheme="majorHAnsi" w:hAnsiTheme="majorHAnsi" w:cstheme="majorHAnsi"/>
          <w:i w:val="0"/>
        </w:rPr>
        <w:t>she would mediate the matter</w:t>
      </w:r>
      <w:r w:rsidR="001E0931" w:rsidRPr="00282525">
        <w:rPr>
          <w:rStyle w:val="Emphasis"/>
          <w:rFonts w:asciiTheme="majorHAnsi" w:hAnsiTheme="majorHAnsi" w:cstheme="majorHAnsi"/>
          <w:i w:val="0"/>
        </w:rPr>
        <w:t xml:space="preserve">. </w:t>
      </w:r>
      <w:r w:rsidR="00337850" w:rsidRPr="00282525">
        <w:rPr>
          <w:rStyle w:val="Emphasis"/>
          <w:rFonts w:asciiTheme="majorHAnsi" w:hAnsiTheme="majorHAnsi" w:cstheme="majorHAnsi"/>
          <w:i w:val="0"/>
        </w:rPr>
        <w:t>She then reported the harassment to the new section head on 9 March 2015.</w:t>
      </w:r>
      <w:r w:rsidR="007A582E" w:rsidRPr="00282525">
        <w:rPr>
          <w:rStyle w:val="Emphasis"/>
          <w:rFonts w:asciiTheme="majorHAnsi" w:hAnsiTheme="majorHAnsi" w:cstheme="majorHAnsi"/>
          <w:i w:val="0"/>
        </w:rPr>
        <w:t xml:space="preserve">  In a meeting with the new section head and a </w:t>
      </w:r>
      <w:r w:rsidR="004E7413" w:rsidRPr="00282525">
        <w:rPr>
          <w:rStyle w:val="Emphasis"/>
          <w:rFonts w:asciiTheme="majorHAnsi" w:hAnsiTheme="majorHAnsi" w:cstheme="majorHAnsi"/>
          <w:i w:val="0"/>
        </w:rPr>
        <w:t>human resource</w:t>
      </w:r>
      <w:r w:rsidR="007A582E" w:rsidRPr="00282525">
        <w:rPr>
          <w:rStyle w:val="Emphasis"/>
          <w:rFonts w:asciiTheme="majorHAnsi" w:hAnsiTheme="majorHAnsi" w:cstheme="majorHAnsi"/>
          <w:i w:val="0"/>
        </w:rPr>
        <w:t xml:space="preserve"> official, the victim was advised to take assertiveness training and to act less friendly.</w:t>
      </w:r>
      <w:r w:rsidR="006024A2" w:rsidRPr="00282525">
        <w:rPr>
          <w:rStyle w:val="Emphasis"/>
          <w:rFonts w:asciiTheme="majorHAnsi" w:hAnsiTheme="majorHAnsi" w:cstheme="majorHAnsi"/>
          <w:i w:val="0"/>
        </w:rPr>
        <w:t xml:space="preserve">  </w:t>
      </w:r>
    </w:p>
    <w:p w14:paraId="574F1917" w14:textId="77777777" w:rsidR="004E7413" w:rsidRPr="00282525" w:rsidRDefault="004E7413" w:rsidP="004E7413">
      <w:pPr>
        <w:pStyle w:val="Default"/>
        <w:jc w:val="both"/>
        <w:rPr>
          <w:rStyle w:val="Emphasis"/>
          <w:rFonts w:asciiTheme="majorHAnsi" w:hAnsiTheme="majorHAnsi" w:cstheme="majorHAnsi"/>
          <w:i w:val="0"/>
        </w:rPr>
      </w:pPr>
    </w:p>
    <w:p w14:paraId="138215D5" w14:textId="02F6249F" w:rsidR="005D5B3D" w:rsidRPr="00282525" w:rsidRDefault="006024A2" w:rsidP="004E7413">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On 19 March the victim sent a request for an investigation which was then opened by the Office of Internal Oversight Services (OIOS).  </w:t>
      </w:r>
      <w:r w:rsidR="007522CB" w:rsidRPr="00282525">
        <w:rPr>
          <w:rStyle w:val="Emphasis"/>
          <w:rFonts w:asciiTheme="majorHAnsi" w:hAnsiTheme="majorHAnsi" w:cstheme="majorHAnsi"/>
          <w:i w:val="0"/>
        </w:rPr>
        <w:t xml:space="preserve">OIOS concluded in a report </w:t>
      </w:r>
      <w:r w:rsidR="008E6E50" w:rsidRPr="00282525">
        <w:rPr>
          <w:rStyle w:val="Emphasis"/>
          <w:rFonts w:asciiTheme="majorHAnsi" w:hAnsiTheme="majorHAnsi" w:cstheme="majorHAnsi"/>
          <w:i w:val="0"/>
        </w:rPr>
        <w:t xml:space="preserve">issued </w:t>
      </w:r>
      <w:r w:rsidR="00CF3050" w:rsidRPr="00282525">
        <w:rPr>
          <w:rStyle w:val="Emphasis"/>
          <w:rFonts w:asciiTheme="majorHAnsi" w:hAnsiTheme="majorHAnsi" w:cstheme="majorHAnsi"/>
          <w:i w:val="0"/>
        </w:rPr>
        <w:t xml:space="preserve">on 31 August </w:t>
      </w:r>
      <w:r w:rsidR="007522CB" w:rsidRPr="00282525">
        <w:rPr>
          <w:rStyle w:val="Emphasis"/>
          <w:rFonts w:asciiTheme="majorHAnsi" w:hAnsiTheme="majorHAnsi" w:cstheme="majorHAnsi"/>
          <w:i w:val="0"/>
        </w:rPr>
        <w:t>2015 that</w:t>
      </w:r>
      <w:r w:rsidR="00CE39BA" w:rsidRPr="00282525">
        <w:rPr>
          <w:rStyle w:val="Emphasis"/>
          <w:rFonts w:asciiTheme="majorHAnsi" w:hAnsiTheme="majorHAnsi" w:cstheme="majorHAnsi"/>
          <w:i w:val="0"/>
        </w:rPr>
        <w:t xml:space="preserve">:  </w:t>
      </w:r>
    </w:p>
    <w:p w14:paraId="290463F2" w14:textId="287B0399" w:rsidR="00CE39BA" w:rsidRPr="00282525" w:rsidRDefault="00CE39BA" w:rsidP="00BF0B14">
      <w:pPr>
        <w:pStyle w:val="Default"/>
        <w:rPr>
          <w:rStyle w:val="Emphasis"/>
          <w:rFonts w:asciiTheme="majorHAnsi" w:hAnsiTheme="majorHAnsi" w:cstheme="majorHAnsi"/>
          <w:i w:val="0"/>
        </w:rPr>
      </w:pPr>
    </w:p>
    <w:p w14:paraId="1245BF67" w14:textId="64B14AE5" w:rsidR="00CE39BA" w:rsidRPr="00282525" w:rsidRDefault="001D63C8" w:rsidP="001D63C8">
      <w:pPr>
        <w:autoSpaceDE w:val="0"/>
        <w:autoSpaceDN w:val="0"/>
        <w:adjustRightInd w:val="0"/>
        <w:spacing w:after="0" w:line="240" w:lineRule="auto"/>
        <w:ind w:left="1134" w:right="1134"/>
        <w:jc w:val="both"/>
        <w:rPr>
          <w:rStyle w:val="Emphasis"/>
          <w:rFonts w:asciiTheme="majorHAnsi" w:hAnsiTheme="majorHAnsi" w:cstheme="majorHAnsi"/>
          <w:i w:val="0"/>
          <w:sz w:val="24"/>
          <w:szCs w:val="24"/>
          <w:lang w:val="en-GB"/>
        </w:rPr>
      </w:pPr>
      <w:r w:rsidRPr="00282525">
        <w:rPr>
          <w:rFonts w:asciiTheme="majorHAnsi" w:hAnsiTheme="majorHAnsi" w:cstheme="majorHAnsi"/>
          <w:color w:val="000000"/>
          <w:sz w:val="24"/>
          <w:szCs w:val="24"/>
          <w:lang w:val="en-GB"/>
        </w:rPr>
        <w:t>“</w:t>
      </w:r>
      <w:r w:rsidR="00CE39BA" w:rsidRPr="00282525">
        <w:rPr>
          <w:rFonts w:asciiTheme="majorHAnsi" w:hAnsiTheme="majorHAnsi" w:cstheme="majorHAnsi"/>
          <w:color w:val="000000"/>
          <w:sz w:val="24"/>
          <w:szCs w:val="24"/>
          <w:lang w:val="en-GB"/>
        </w:rPr>
        <w:t xml:space="preserve">the evidence adduced shows that [the complainant] has been consistent in her reporting of the details of the incidents, including to her colleagues, and to OIOS. Because OIOS verified her account, which </w:t>
      </w:r>
      <w:r w:rsidR="00CE39BA" w:rsidRPr="00282525">
        <w:rPr>
          <w:rFonts w:asciiTheme="majorHAnsi" w:hAnsiTheme="majorHAnsi" w:cstheme="majorHAnsi"/>
          <w:color w:val="000000"/>
          <w:sz w:val="24"/>
          <w:szCs w:val="24"/>
          <w:lang w:val="en-GB"/>
        </w:rPr>
        <w:lastRenderedPageBreak/>
        <w:t>was corroborated by her colleagues, and considering that there was no evidence</w:t>
      </w:r>
      <w:r w:rsidRPr="00282525">
        <w:rPr>
          <w:rFonts w:asciiTheme="majorHAnsi" w:hAnsiTheme="majorHAnsi" w:cstheme="majorHAnsi"/>
          <w:color w:val="000000"/>
          <w:sz w:val="24"/>
          <w:szCs w:val="24"/>
          <w:lang w:val="en-GB"/>
        </w:rPr>
        <w:t xml:space="preserve"> </w:t>
      </w:r>
      <w:r w:rsidR="00CE39BA" w:rsidRPr="00282525">
        <w:rPr>
          <w:rFonts w:asciiTheme="majorHAnsi" w:hAnsiTheme="majorHAnsi" w:cstheme="majorHAnsi"/>
          <w:sz w:val="24"/>
          <w:szCs w:val="24"/>
          <w:lang w:val="en-GB"/>
        </w:rPr>
        <w:t>of ulterior motive on her part, OIOS finds [the complainant’s] complaint against Mr [A.] credible and made in good faith</w:t>
      </w:r>
      <w:r w:rsidRPr="00282525">
        <w:rPr>
          <w:rFonts w:asciiTheme="majorHAnsi" w:hAnsiTheme="majorHAnsi" w:cstheme="majorHAnsi"/>
          <w:sz w:val="24"/>
          <w:szCs w:val="24"/>
          <w:lang w:val="en-GB"/>
        </w:rPr>
        <w:t xml:space="preserve"> . . . </w:t>
      </w:r>
      <w:r w:rsidR="00CE39BA" w:rsidRPr="00282525">
        <w:rPr>
          <w:rFonts w:asciiTheme="majorHAnsi" w:hAnsiTheme="majorHAnsi" w:cstheme="majorHAnsi"/>
          <w:sz w:val="24"/>
          <w:szCs w:val="24"/>
          <w:lang w:val="en-GB"/>
        </w:rPr>
        <w:t>On the other hand, considering Mr [A.’s] vehement denials, his explanations of the incidents, including his apology to [the complainant], coupled with the fact that no independent witness was present during the incidents; OIOS cannot make a conclusive determination in this case.”</w:t>
      </w:r>
    </w:p>
    <w:p w14:paraId="1E58334B" w14:textId="77777777" w:rsidR="005D5B3D" w:rsidRPr="00282525" w:rsidRDefault="005D5B3D" w:rsidP="00BF0B14">
      <w:pPr>
        <w:pStyle w:val="Default"/>
        <w:rPr>
          <w:rStyle w:val="Emphasis"/>
          <w:rFonts w:asciiTheme="majorHAnsi" w:hAnsiTheme="majorHAnsi" w:cstheme="majorHAnsi"/>
          <w:i w:val="0"/>
        </w:rPr>
      </w:pPr>
    </w:p>
    <w:p w14:paraId="22B33D7C" w14:textId="6FFFAF62" w:rsidR="00852A2F" w:rsidRPr="00282525" w:rsidRDefault="008E6E50"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After making several inquiries, </w:t>
      </w:r>
      <w:r w:rsidR="004E7413" w:rsidRPr="00282525">
        <w:rPr>
          <w:rStyle w:val="Emphasis"/>
          <w:rFonts w:asciiTheme="majorHAnsi" w:hAnsiTheme="majorHAnsi" w:cstheme="majorHAnsi"/>
          <w:i w:val="0"/>
        </w:rPr>
        <w:t>not until</w:t>
      </w:r>
      <w:r w:rsidR="00A64FAC" w:rsidRPr="00282525">
        <w:rPr>
          <w:rStyle w:val="Emphasis"/>
          <w:rFonts w:asciiTheme="majorHAnsi" w:hAnsiTheme="majorHAnsi" w:cstheme="majorHAnsi"/>
          <w:i w:val="0"/>
        </w:rPr>
        <w:t xml:space="preserve"> January 2017 </w:t>
      </w:r>
      <w:r w:rsidR="004E7413" w:rsidRPr="00282525">
        <w:rPr>
          <w:rStyle w:val="Emphasis"/>
          <w:rFonts w:asciiTheme="majorHAnsi" w:hAnsiTheme="majorHAnsi" w:cstheme="majorHAnsi"/>
          <w:i w:val="0"/>
        </w:rPr>
        <w:t xml:space="preserve">did </w:t>
      </w:r>
      <w:r w:rsidRPr="00282525">
        <w:rPr>
          <w:rStyle w:val="Emphasis"/>
          <w:rFonts w:asciiTheme="majorHAnsi" w:hAnsiTheme="majorHAnsi" w:cstheme="majorHAnsi"/>
          <w:i w:val="0"/>
        </w:rPr>
        <w:t xml:space="preserve">the Agency finally </w:t>
      </w:r>
      <w:r w:rsidR="00FD3700" w:rsidRPr="00282525">
        <w:rPr>
          <w:rStyle w:val="Emphasis"/>
          <w:rFonts w:asciiTheme="majorHAnsi" w:hAnsiTheme="majorHAnsi" w:cstheme="majorHAnsi"/>
          <w:i w:val="0"/>
        </w:rPr>
        <w:t>notify</w:t>
      </w:r>
      <w:r w:rsidRPr="00282525">
        <w:rPr>
          <w:rStyle w:val="Emphasis"/>
          <w:rFonts w:asciiTheme="majorHAnsi" w:hAnsiTheme="majorHAnsi" w:cstheme="majorHAnsi"/>
          <w:i w:val="0"/>
        </w:rPr>
        <w:t xml:space="preserve"> the victim </w:t>
      </w:r>
      <w:r w:rsidR="00AE526E" w:rsidRPr="00282525">
        <w:rPr>
          <w:rStyle w:val="Emphasis"/>
          <w:rFonts w:asciiTheme="majorHAnsi" w:hAnsiTheme="majorHAnsi" w:cstheme="majorHAnsi"/>
          <w:i w:val="0"/>
        </w:rPr>
        <w:t>of the</w:t>
      </w:r>
      <w:r w:rsidR="003B1D79" w:rsidRPr="00282525">
        <w:rPr>
          <w:rStyle w:val="Emphasis"/>
          <w:rFonts w:asciiTheme="majorHAnsi" w:hAnsiTheme="majorHAnsi" w:cstheme="majorHAnsi"/>
          <w:i w:val="0"/>
        </w:rPr>
        <w:t xml:space="preserve"> OIOS </w:t>
      </w:r>
      <w:r w:rsidR="00AE526E" w:rsidRPr="00282525">
        <w:rPr>
          <w:rStyle w:val="Emphasis"/>
          <w:rFonts w:asciiTheme="majorHAnsi" w:hAnsiTheme="majorHAnsi" w:cstheme="majorHAnsi"/>
          <w:i w:val="0"/>
        </w:rPr>
        <w:t xml:space="preserve">findings </w:t>
      </w:r>
      <w:r w:rsidR="002177DD" w:rsidRPr="00282525">
        <w:rPr>
          <w:rStyle w:val="Emphasis"/>
          <w:rFonts w:asciiTheme="majorHAnsi" w:hAnsiTheme="majorHAnsi" w:cstheme="majorHAnsi"/>
          <w:i w:val="0"/>
        </w:rPr>
        <w:t xml:space="preserve">and advised that a </w:t>
      </w:r>
      <w:r w:rsidR="003B1D79" w:rsidRPr="00282525">
        <w:rPr>
          <w:rStyle w:val="Emphasis"/>
          <w:rFonts w:asciiTheme="majorHAnsi" w:hAnsiTheme="majorHAnsi" w:cstheme="majorHAnsi"/>
          <w:i w:val="0"/>
        </w:rPr>
        <w:t>letter of warning</w:t>
      </w:r>
      <w:r w:rsidR="002177DD" w:rsidRPr="00282525">
        <w:rPr>
          <w:rStyle w:val="Emphasis"/>
          <w:rFonts w:asciiTheme="majorHAnsi" w:hAnsiTheme="majorHAnsi" w:cstheme="majorHAnsi"/>
          <w:i w:val="0"/>
        </w:rPr>
        <w:t xml:space="preserve"> would be issued </w:t>
      </w:r>
      <w:r w:rsidR="003B1D79" w:rsidRPr="00282525">
        <w:rPr>
          <w:rStyle w:val="Emphasis"/>
          <w:rFonts w:asciiTheme="majorHAnsi" w:hAnsiTheme="majorHAnsi" w:cstheme="majorHAnsi"/>
          <w:i w:val="0"/>
        </w:rPr>
        <w:t>to the perpetrator</w:t>
      </w:r>
      <w:r w:rsidR="002177DD" w:rsidRPr="00282525">
        <w:rPr>
          <w:rStyle w:val="Emphasis"/>
          <w:rFonts w:asciiTheme="majorHAnsi" w:hAnsiTheme="majorHAnsi" w:cstheme="majorHAnsi"/>
          <w:i w:val="0"/>
        </w:rPr>
        <w:t xml:space="preserve"> about his behaviour</w:t>
      </w:r>
      <w:r w:rsidR="00462C4B" w:rsidRPr="00282525">
        <w:rPr>
          <w:rStyle w:val="Emphasis"/>
          <w:rFonts w:asciiTheme="majorHAnsi" w:hAnsiTheme="majorHAnsi" w:cstheme="majorHAnsi"/>
          <w:i w:val="0"/>
        </w:rPr>
        <w:t xml:space="preserve"> and he would be required to undergo training</w:t>
      </w:r>
      <w:r w:rsidR="00FD3700" w:rsidRPr="00282525">
        <w:rPr>
          <w:rStyle w:val="Emphasis"/>
          <w:rFonts w:asciiTheme="majorHAnsi" w:hAnsiTheme="majorHAnsi" w:cstheme="majorHAnsi"/>
          <w:i w:val="0"/>
        </w:rPr>
        <w:t>, and that the case was otherwise closed.</w:t>
      </w:r>
    </w:p>
    <w:p w14:paraId="354A35CB" w14:textId="77777777" w:rsidR="00852A2F" w:rsidRPr="00282525" w:rsidRDefault="00852A2F" w:rsidP="00A64FAC">
      <w:pPr>
        <w:pStyle w:val="Default"/>
        <w:jc w:val="both"/>
        <w:rPr>
          <w:rStyle w:val="Emphasis"/>
          <w:rFonts w:asciiTheme="majorHAnsi" w:hAnsiTheme="majorHAnsi" w:cstheme="majorHAnsi"/>
          <w:i w:val="0"/>
        </w:rPr>
      </w:pPr>
    </w:p>
    <w:p w14:paraId="535E9F12" w14:textId="256A0EE4" w:rsidR="00FD3700" w:rsidRPr="00282525" w:rsidRDefault="00B04EA0"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After </w:t>
      </w:r>
      <w:r w:rsidR="004829A6">
        <w:rPr>
          <w:rStyle w:val="Emphasis"/>
          <w:rFonts w:asciiTheme="majorHAnsi" w:hAnsiTheme="majorHAnsi" w:cstheme="majorHAnsi"/>
          <w:i w:val="0"/>
        </w:rPr>
        <w:t>initiating an internal appeal seeking moral damages, t</w:t>
      </w:r>
      <w:r w:rsidRPr="00282525">
        <w:rPr>
          <w:rStyle w:val="Emphasis"/>
          <w:rFonts w:asciiTheme="majorHAnsi" w:hAnsiTheme="majorHAnsi" w:cstheme="majorHAnsi"/>
          <w:i w:val="0"/>
        </w:rPr>
        <w:t xml:space="preserve">he Agency advised that based on the OIOS report and the lack of finding of </w:t>
      </w:r>
      <w:r w:rsidR="00A64FAC" w:rsidRPr="00282525">
        <w:rPr>
          <w:rStyle w:val="Emphasis"/>
          <w:rFonts w:asciiTheme="majorHAnsi" w:hAnsiTheme="majorHAnsi" w:cstheme="majorHAnsi"/>
          <w:i w:val="0"/>
        </w:rPr>
        <w:t>harassment beyond a reasonable doubt, the victim’s rights had not bee</w:t>
      </w:r>
      <w:r w:rsidR="004829A6">
        <w:rPr>
          <w:rStyle w:val="Emphasis"/>
          <w:rFonts w:asciiTheme="majorHAnsi" w:hAnsiTheme="majorHAnsi" w:cstheme="majorHAnsi"/>
          <w:i w:val="0"/>
        </w:rPr>
        <w:t>n violated and no compensation c</w:t>
      </w:r>
      <w:r w:rsidR="00A64FAC" w:rsidRPr="00282525">
        <w:rPr>
          <w:rStyle w:val="Emphasis"/>
          <w:rFonts w:asciiTheme="majorHAnsi" w:hAnsiTheme="majorHAnsi" w:cstheme="majorHAnsi"/>
          <w:i w:val="0"/>
        </w:rPr>
        <w:t xml:space="preserve">ould be </w:t>
      </w:r>
      <w:r w:rsidR="004829A6">
        <w:rPr>
          <w:rStyle w:val="Emphasis"/>
          <w:rFonts w:asciiTheme="majorHAnsi" w:hAnsiTheme="majorHAnsi" w:cstheme="majorHAnsi"/>
          <w:i w:val="0"/>
        </w:rPr>
        <w:t>awarded</w:t>
      </w:r>
      <w:r w:rsidR="00A64FAC" w:rsidRPr="00282525">
        <w:rPr>
          <w:rStyle w:val="Emphasis"/>
          <w:rFonts w:asciiTheme="majorHAnsi" w:hAnsiTheme="majorHAnsi" w:cstheme="majorHAnsi"/>
          <w:i w:val="0"/>
        </w:rPr>
        <w:t xml:space="preserve">.  </w:t>
      </w:r>
    </w:p>
    <w:p w14:paraId="309BA963" w14:textId="77777777" w:rsidR="00FD3700" w:rsidRPr="00282525" w:rsidRDefault="00FD3700" w:rsidP="00A64FAC">
      <w:pPr>
        <w:pStyle w:val="Default"/>
        <w:jc w:val="both"/>
        <w:rPr>
          <w:rStyle w:val="Emphasis"/>
          <w:rFonts w:asciiTheme="majorHAnsi" w:hAnsiTheme="majorHAnsi" w:cstheme="majorHAnsi"/>
          <w:i w:val="0"/>
        </w:rPr>
      </w:pPr>
    </w:p>
    <w:p w14:paraId="48395ECC" w14:textId="3E37AFC0" w:rsidR="009717DD" w:rsidRPr="00282525" w:rsidRDefault="0033498D"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In the appeal to the Tribunal, </w:t>
      </w:r>
      <w:r w:rsidR="0091704B" w:rsidRPr="00282525">
        <w:rPr>
          <w:rStyle w:val="Emphasis"/>
          <w:rFonts w:asciiTheme="majorHAnsi" w:hAnsiTheme="majorHAnsi" w:cstheme="majorHAnsi"/>
          <w:i w:val="0"/>
        </w:rPr>
        <w:t xml:space="preserve">the Agency </w:t>
      </w:r>
      <w:r w:rsidR="0065629C" w:rsidRPr="00282525">
        <w:rPr>
          <w:rStyle w:val="Emphasis"/>
          <w:rFonts w:asciiTheme="majorHAnsi" w:hAnsiTheme="majorHAnsi" w:cstheme="majorHAnsi"/>
          <w:i w:val="0"/>
        </w:rPr>
        <w:t xml:space="preserve">raised two very troubling arguments:  </w:t>
      </w:r>
      <w:proofErr w:type="spellStart"/>
      <w:r w:rsidR="0065629C" w:rsidRPr="00282525">
        <w:rPr>
          <w:rStyle w:val="Emphasis"/>
          <w:rFonts w:asciiTheme="majorHAnsi" w:hAnsiTheme="majorHAnsi" w:cstheme="majorHAnsi"/>
          <w:i w:val="0"/>
        </w:rPr>
        <w:t>i</w:t>
      </w:r>
      <w:proofErr w:type="spellEnd"/>
      <w:r w:rsidR="0065629C" w:rsidRPr="00282525">
        <w:rPr>
          <w:rStyle w:val="Emphasis"/>
          <w:rFonts w:asciiTheme="majorHAnsi" w:hAnsiTheme="majorHAnsi" w:cstheme="majorHAnsi"/>
          <w:i w:val="0"/>
        </w:rPr>
        <w:t xml:space="preserve">) </w:t>
      </w:r>
      <w:r w:rsidR="00B00FF5" w:rsidRPr="00282525">
        <w:rPr>
          <w:rStyle w:val="Emphasis"/>
          <w:rFonts w:asciiTheme="majorHAnsi" w:hAnsiTheme="majorHAnsi" w:cstheme="majorHAnsi"/>
          <w:i w:val="0"/>
        </w:rPr>
        <w:t xml:space="preserve">since </w:t>
      </w:r>
      <w:r w:rsidR="009A23C2" w:rsidRPr="00282525">
        <w:rPr>
          <w:rStyle w:val="Emphasis"/>
          <w:rFonts w:asciiTheme="majorHAnsi" w:hAnsiTheme="majorHAnsi" w:cstheme="majorHAnsi"/>
          <w:i w:val="0"/>
        </w:rPr>
        <w:t xml:space="preserve">the </w:t>
      </w:r>
      <w:r w:rsidR="004829A6" w:rsidRPr="00282525">
        <w:rPr>
          <w:rStyle w:val="Emphasis"/>
          <w:rFonts w:asciiTheme="majorHAnsi" w:hAnsiTheme="majorHAnsi" w:cstheme="majorHAnsi"/>
          <w:i w:val="0"/>
        </w:rPr>
        <w:t>perpetrator</w:t>
      </w:r>
      <w:r w:rsidR="009A23C2" w:rsidRPr="00282525">
        <w:rPr>
          <w:rStyle w:val="Emphasis"/>
          <w:rFonts w:asciiTheme="majorHAnsi" w:hAnsiTheme="majorHAnsi" w:cstheme="majorHAnsi"/>
          <w:i w:val="0"/>
        </w:rPr>
        <w:t xml:space="preserve"> </w:t>
      </w:r>
      <w:r w:rsidR="00B00FF5" w:rsidRPr="00282525">
        <w:rPr>
          <w:rStyle w:val="Emphasis"/>
          <w:rFonts w:asciiTheme="majorHAnsi" w:hAnsiTheme="majorHAnsi" w:cstheme="majorHAnsi"/>
          <w:i w:val="0"/>
        </w:rPr>
        <w:t>was</w:t>
      </w:r>
      <w:r w:rsidR="009A23C2" w:rsidRPr="00282525">
        <w:rPr>
          <w:rStyle w:val="Emphasis"/>
          <w:rFonts w:asciiTheme="majorHAnsi" w:hAnsiTheme="majorHAnsi" w:cstheme="majorHAnsi"/>
          <w:i w:val="0"/>
        </w:rPr>
        <w:t xml:space="preserve"> not </w:t>
      </w:r>
      <w:r w:rsidR="00B00FF5" w:rsidRPr="00282525">
        <w:rPr>
          <w:rStyle w:val="Emphasis"/>
          <w:rFonts w:asciiTheme="majorHAnsi" w:hAnsiTheme="majorHAnsi" w:cstheme="majorHAnsi"/>
          <w:i w:val="0"/>
        </w:rPr>
        <w:t>found</w:t>
      </w:r>
      <w:r w:rsidR="009A23C2" w:rsidRPr="00282525">
        <w:rPr>
          <w:rStyle w:val="Emphasis"/>
          <w:rFonts w:asciiTheme="majorHAnsi" w:hAnsiTheme="majorHAnsi" w:cstheme="majorHAnsi"/>
          <w:i w:val="0"/>
        </w:rPr>
        <w:t xml:space="preserve"> guilty of harassment </w:t>
      </w:r>
      <w:r w:rsidR="00B00FF5" w:rsidRPr="00282525">
        <w:rPr>
          <w:rStyle w:val="Emphasis"/>
          <w:rFonts w:asciiTheme="majorHAnsi" w:hAnsiTheme="majorHAnsi" w:cstheme="majorHAnsi"/>
          <w:i w:val="0"/>
        </w:rPr>
        <w:t>beyond a reasonable doubt the case was not proven</w:t>
      </w:r>
      <w:r w:rsidR="009A23C2" w:rsidRPr="00282525">
        <w:rPr>
          <w:rStyle w:val="Emphasis"/>
          <w:rFonts w:asciiTheme="majorHAnsi" w:hAnsiTheme="majorHAnsi" w:cstheme="majorHAnsi"/>
          <w:i w:val="0"/>
        </w:rPr>
        <w:t xml:space="preserve">; and ii) that the OIOS enjoys operational independence and its </w:t>
      </w:r>
      <w:r w:rsidR="009240DA" w:rsidRPr="00282525">
        <w:rPr>
          <w:rStyle w:val="Emphasis"/>
          <w:rFonts w:asciiTheme="majorHAnsi" w:hAnsiTheme="majorHAnsi" w:cstheme="majorHAnsi"/>
          <w:i w:val="0"/>
        </w:rPr>
        <w:t>findings cannot be reviewed or changed by the Director General.</w:t>
      </w:r>
    </w:p>
    <w:p w14:paraId="1AD18567" w14:textId="77777777" w:rsidR="009717DD" w:rsidRPr="00282525" w:rsidRDefault="009717DD" w:rsidP="00A64FAC">
      <w:pPr>
        <w:pStyle w:val="Default"/>
        <w:jc w:val="both"/>
        <w:rPr>
          <w:rStyle w:val="Emphasis"/>
          <w:rFonts w:asciiTheme="majorHAnsi" w:hAnsiTheme="majorHAnsi" w:cstheme="majorHAnsi"/>
          <w:i w:val="0"/>
        </w:rPr>
      </w:pPr>
    </w:p>
    <w:p w14:paraId="2ED6ABBA" w14:textId="7B449FDA" w:rsidR="009717DD" w:rsidRPr="00282525" w:rsidRDefault="009717DD"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The Tribunal first rejected the </w:t>
      </w:r>
      <w:r w:rsidR="004829A6">
        <w:rPr>
          <w:rStyle w:val="Emphasis"/>
          <w:rFonts w:asciiTheme="majorHAnsi" w:hAnsiTheme="majorHAnsi" w:cstheme="majorHAnsi"/>
          <w:i w:val="0"/>
        </w:rPr>
        <w:t xml:space="preserve">second </w:t>
      </w:r>
      <w:r w:rsidRPr="00282525">
        <w:rPr>
          <w:rStyle w:val="Emphasis"/>
          <w:rFonts w:asciiTheme="majorHAnsi" w:hAnsiTheme="majorHAnsi" w:cstheme="majorHAnsi"/>
          <w:i w:val="0"/>
        </w:rPr>
        <w:t xml:space="preserve">argument </w:t>
      </w:r>
      <w:r w:rsidR="004829A6">
        <w:rPr>
          <w:rStyle w:val="Emphasis"/>
          <w:rFonts w:asciiTheme="majorHAnsi" w:hAnsiTheme="majorHAnsi" w:cstheme="majorHAnsi"/>
          <w:i w:val="0"/>
        </w:rPr>
        <w:t>relating to</w:t>
      </w:r>
      <w:r w:rsidRPr="00282525">
        <w:rPr>
          <w:rStyle w:val="Emphasis"/>
          <w:rFonts w:asciiTheme="majorHAnsi" w:hAnsiTheme="majorHAnsi" w:cstheme="majorHAnsi"/>
          <w:i w:val="0"/>
        </w:rPr>
        <w:t xml:space="preserve"> the operational independence of the OIOS which it held only concerned its internal operations.</w:t>
      </w:r>
    </w:p>
    <w:p w14:paraId="26CA563E" w14:textId="77777777" w:rsidR="009717DD" w:rsidRPr="00282525" w:rsidRDefault="009717DD" w:rsidP="009717DD">
      <w:pPr>
        <w:autoSpaceDE w:val="0"/>
        <w:autoSpaceDN w:val="0"/>
        <w:adjustRightInd w:val="0"/>
        <w:spacing w:after="0" w:line="240" w:lineRule="auto"/>
        <w:rPr>
          <w:rFonts w:asciiTheme="majorHAnsi" w:hAnsiTheme="majorHAnsi" w:cstheme="majorHAnsi"/>
          <w:color w:val="000000"/>
          <w:sz w:val="24"/>
          <w:szCs w:val="24"/>
          <w:lang w:val="en-GB"/>
        </w:rPr>
      </w:pPr>
    </w:p>
    <w:p w14:paraId="3B5B5F84" w14:textId="4A6BEF1F" w:rsidR="009717DD" w:rsidRPr="00282525" w:rsidRDefault="009717DD" w:rsidP="009717DD">
      <w:pPr>
        <w:autoSpaceDE w:val="0"/>
        <w:autoSpaceDN w:val="0"/>
        <w:adjustRightInd w:val="0"/>
        <w:spacing w:after="0" w:line="240" w:lineRule="auto"/>
        <w:ind w:left="1134" w:right="1134"/>
        <w:jc w:val="both"/>
        <w:rPr>
          <w:rFonts w:asciiTheme="majorHAnsi" w:hAnsiTheme="majorHAnsi" w:cstheme="majorHAnsi"/>
          <w:color w:val="000000"/>
          <w:sz w:val="24"/>
          <w:szCs w:val="24"/>
          <w:lang w:val="en-GB"/>
        </w:rPr>
      </w:pPr>
      <w:r w:rsidRPr="00282525">
        <w:rPr>
          <w:rFonts w:asciiTheme="majorHAnsi" w:hAnsiTheme="majorHAnsi" w:cstheme="majorHAnsi"/>
          <w:color w:val="000000"/>
          <w:sz w:val="24"/>
          <w:szCs w:val="24"/>
          <w:lang w:val="en-GB"/>
        </w:rPr>
        <w:t>“It is observed that the operational independence of OIOS, as provided for in the OIOS Charter, concerns the independence of its internal operations. It does not in any way constrain or implicate the Director General’s decision-making authority nor does it preclude judicial review of the OIOS’s findings and conclusions underpinning a Director General’s final decision.”</w:t>
      </w:r>
    </w:p>
    <w:p w14:paraId="58C4ECDF" w14:textId="77777777" w:rsidR="009717DD" w:rsidRPr="00282525" w:rsidRDefault="009717DD" w:rsidP="00A64FAC">
      <w:pPr>
        <w:pStyle w:val="Default"/>
        <w:jc w:val="both"/>
        <w:rPr>
          <w:rStyle w:val="Emphasis"/>
          <w:rFonts w:asciiTheme="majorHAnsi" w:hAnsiTheme="majorHAnsi" w:cstheme="majorHAnsi"/>
          <w:i w:val="0"/>
        </w:rPr>
      </w:pPr>
    </w:p>
    <w:p w14:paraId="6E1DB73E" w14:textId="4DDBD1D8" w:rsidR="00B5228D" w:rsidRPr="00282525" w:rsidRDefault="00CC68D3"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Second, the Tribunal </w:t>
      </w:r>
      <w:r w:rsidR="004E7413" w:rsidRPr="00282525">
        <w:rPr>
          <w:rStyle w:val="Emphasis"/>
          <w:rFonts w:asciiTheme="majorHAnsi" w:hAnsiTheme="majorHAnsi" w:cstheme="majorHAnsi"/>
          <w:i w:val="0"/>
        </w:rPr>
        <w:t xml:space="preserve">stated that the “key issue” in the case concerned </w:t>
      </w:r>
      <w:r w:rsidR="00FC1B62" w:rsidRPr="00282525">
        <w:rPr>
          <w:rStyle w:val="Emphasis"/>
          <w:rFonts w:asciiTheme="majorHAnsi" w:hAnsiTheme="majorHAnsi" w:cstheme="majorHAnsi"/>
          <w:i w:val="0"/>
        </w:rPr>
        <w:t xml:space="preserve">the “manner” in which the Agency </w:t>
      </w:r>
      <w:r w:rsidR="004E7413" w:rsidRPr="00282525">
        <w:rPr>
          <w:rStyle w:val="Emphasis"/>
          <w:rFonts w:asciiTheme="majorHAnsi" w:hAnsiTheme="majorHAnsi" w:cstheme="majorHAnsi"/>
          <w:i w:val="0"/>
        </w:rPr>
        <w:t xml:space="preserve">procedurally </w:t>
      </w:r>
      <w:r w:rsidR="00FC1B62" w:rsidRPr="00282525">
        <w:rPr>
          <w:rStyle w:val="Emphasis"/>
          <w:rFonts w:asciiTheme="majorHAnsi" w:hAnsiTheme="majorHAnsi" w:cstheme="majorHAnsi"/>
          <w:i w:val="0"/>
        </w:rPr>
        <w:t xml:space="preserve">dealt with the sexual harassment complaint. </w:t>
      </w:r>
      <w:r w:rsidR="00FA485B" w:rsidRPr="00282525">
        <w:rPr>
          <w:rStyle w:val="Emphasis"/>
          <w:rFonts w:asciiTheme="majorHAnsi" w:hAnsiTheme="majorHAnsi" w:cstheme="majorHAnsi"/>
          <w:i w:val="0"/>
        </w:rPr>
        <w:t xml:space="preserve">The Tribunal noted that (at that time) the Agency’s policy on resolving harassment-related grievances </w:t>
      </w:r>
      <w:r w:rsidR="00675988" w:rsidRPr="00282525">
        <w:rPr>
          <w:rStyle w:val="Emphasis"/>
          <w:rFonts w:asciiTheme="majorHAnsi" w:hAnsiTheme="majorHAnsi" w:cstheme="majorHAnsi"/>
          <w:i w:val="0"/>
        </w:rPr>
        <w:t>stipulated that in the event the complaint is not resolved</w:t>
      </w:r>
      <w:r w:rsidR="004E7413" w:rsidRPr="00282525">
        <w:rPr>
          <w:rStyle w:val="Emphasis"/>
          <w:rFonts w:asciiTheme="majorHAnsi" w:hAnsiTheme="majorHAnsi" w:cstheme="majorHAnsi"/>
          <w:i w:val="0"/>
        </w:rPr>
        <w:t xml:space="preserve"> informally</w:t>
      </w:r>
      <w:r w:rsidR="00675988" w:rsidRPr="00282525">
        <w:rPr>
          <w:rStyle w:val="Emphasis"/>
          <w:rFonts w:asciiTheme="majorHAnsi" w:hAnsiTheme="majorHAnsi" w:cstheme="majorHAnsi"/>
          <w:i w:val="0"/>
        </w:rPr>
        <w:t xml:space="preserve"> </w:t>
      </w:r>
      <w:r w:rsidR="004E7413" w:rsidRPr="00282525">
        <w:rPr>
          <w:rStyle w:val="Emphasis"/>
          <w:rFonts w:asciiTheme="majorHAnsi" w:hAnsiTheme="majorHAnsi" w:cstheme="majorHAnsi"/>
          <w:i w:val="0"/>
        </w:rPr>
        <w:t>by voluntary mediation</w:t>
      </w:r>
      <w:r w:rsidR="00675988" w:rsidRPr="00282525">
        <w:rPr>
          <w:rStyle w:val="Emphasis"/>
          <w:rFonts w:asciiTheme="majorHAnsi" w:hAnsiTheme="majorHAnsi" w:cstheme="majorHAnsi"/>
          <w:i w:val="0"/>
        </w:rPr>
        <w:t xml:space="preserve"> the victim could file a </w:t>
      </w:r>
      <w:r w:rsidR="00B5228D" w:rsidRPr="00282525">
        <w:rPr>
          <w:rStyle w:val="Emphasis"/>
          <w:rFonts w:asciiTheme="majorHAnsi" w:hAnsiTheme="majorHAnsi" w:cstheme="majorHAnsi"/>
          <w:i w:val="0"/>
        </w:rPr>
        <w:t>report</w:t>
      </w:r>
      <w:r w:rsidR="00675988" w:rsidRPr="00282525">
        <w:rPr>
          <w:rStyle w:val="Emphasis"/>
          <w:rFonts w:asciiTheme="majorHAnsi" w:hAnsiTheme="majorHAnsi" w:cstheme="majorHAnsi"/>
          <w:i w:val="0"/>
        </w:rPr>
        <w:t xml:space="preserve"> of misconduct.  </w:t>
      </w:r>
      <w:r w:rsidR="00CA5529" w:rsidRPr="00282525">
        <w:rPr>
          <w:rStyle w:val="Emphasis"/>
          <w:rFonts w:asciiTheme="majorHAnsi" w:hAnsiTheme="majorHAnsi" w:cstheme="majorHAnsi"/>
          <w:i w:val="0"/>
        </w:rPr>
        <w:t xml:space="preserve">The Tribunal then observed </w:t>
      </w:r>
      <w:r w:rsidR="004E7413" w:rsidRPr="00282525">
        <w:rPr>
          <w:rStyle w:val="Emphasis"/>
          <w:rFonts w:asciiTheme="majorHAnsi" w:hAnsiTheme="majorHAnsi" w:cstheme="majorHAnsi"/>
          <w:i w:val="0"/>
        </w:rPr>
        <w:t xml:space="preserve">that the procedures </w:t>
      </w:r>
      <w:r w:rsidR="00B5228D" w:rsidRPr="00282525">
        <w:rPr>
          <w:rStyle w:val="Emphasis"/>
          <w:rFonts w:asciiTheme="majorHAnsi" w:hAnsiTheme="majorHAnsi" w:cstheme="majorHAnsi"/>
          <w:i w:val="0"/>
        </w:rPr>
        <w:t>relating to misconduct serve to determine if the subject staff member committed misconduct – sexual harassment – and whether a disciplinary measure should be imposed.</w:t>
      </w:r>
    </w:p>
    <w:p w14:paraId="1E951C54" w14:textId="596C91F0" w:rsidR="00B5228D" w:rsidRPr="00282525" w:rsidRDefault="00B5228D" w:rsidP="00A64FAC">
      <w:pPr>
        <w:pStyle w:val="Default"/>
        <w:jc w:val="both"/>
        <w:rPr>
          <w:rStyle w:val="Emphasis"/>
          <w:rFonts w:asciiTheme="majorHAnsi" w:hAnsiTheme="majorHAnsi" w:cstheme="majorHAnsi"/>
          <w:i w:val="0"/>
        </w:rPr>
      </w:pPr>
    </w:p>
    <w:p w14:paraId="352792B5" w14:textId="444CE2A9" w:rsidR="00B5228D" w:rsidRPr="00282525" w:rsidRDefault="00B5228D"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The Tribunal then importantly clarified that a report of harassment and a report of misconduct are “distinct and separate matters”</w:t>
      </w:r>
      <w:r w:rsidR="004829A6">
        <w:rPr>
          <w:rStyle w:val="Emphasis"/>
          <w:rFonts w:asciiTheme="majorHAnsi" w:hAnsiTheme="majorHAnsi" w:cstheme="majorHAnsi"/>
          <w:i w:val="0"/>
        </w:rPr>
        <w:t xml:space="preserve"> and therefore must be dealt with separately</w:t>
      </w:r>
      <w:r w:rsidRPr="00282525">
        <w:rPr>
          <w:rStyle w:val="Emphasis"/>
          <w:rFonts w:asciiTheme="majorHAnsi" w:hAnsiTheme="majorHAnsi" w:cstheme="majorHAnsi"/>
          <w:i w:val="0"/>
        </w:rPr>
        <w:t>.</w:t>
      </w:r>
    </w:p>
    <w:p w14:paraId="0E9DE75A" w14:textId="77777777" w:rsidR="00B5228D" w:rsidRPr="00282525" w:rsidRDefault="00B5228D" w:rsidP="00B5228D">
      <w:pPr>
        <w:autoSpaceDE w:val="0"/>
        <w:autoSpaceDN w:val="0"/>
        <w:adjustRightInd w:val="0"/>
        <w:spacing w:after="0" w:line="240" w:lineRule="auto"/>
        <w:rPr>
          <w:rFonts w:asciiTheme="majorHAnsi" w:hAnsiTheme="majorHAnsi" w:cstheme="majorHAnsi"/>
          <w:color w:val="000000"/>
          <w:sz w:val="24"/>
          <w:szCs w:val="24"/>
        </w:rPr>
      </w:pPr>
    </w:p>
    <w:p w14:paraId="5AC11FBE" w14:textId="7E27ADB5" w:rsidR="00B5228D" w:rsidRPr="00282525" w:rsidRDefault="00B5228D" w:rsidP="00B5228D">
      <w:pPr>
        <w:autoSpaceDE w:val="0"/>
        <w:autoSpaceDN w:val="0"/>
        <w:adjustRightInd w:val="0"/>
        <w:spacing w:after="0" w:line="240" w:lineRule="auto"/>
        <w:ind w:left="1134" w:right="1134"/>
        <w:jc w:val="both"/>
        <w:rPr>
          <w:rFonts w:asciiTheme="majorHAnsi" w:hAnsiTheme="majorHAnsi" w:cstheme="majorHAnsi"/>
          <w:color w:val="000000"/>
          <w:sz w:val="24"/>
          <w:szCs w:val="24"/>
          <w:lang w:val="en-GB"/>
        </w:rPr>
      </w:pPr>
      <w:r w:rsidRPr="00282525">
        <w:rPr>
          <w:rFonts w:asciiTheme="majorHAnsi" w:hAnsiTheme="majorHAnsi" w:cstheme="majorHAnsi"/>
          <w:color w:val="000000"/>
          <w:sz w:val="24"/>
          <w:szCs w:val="24"/>
          <w:lang w:val="en-GB"/>
        </w:rPr>
        <w:t>“</w:t>
      </w:r>
      <w:r w:rsidRPr="00282525">
        <w:rPr>
          <w:rFonts w:asciiTheme="majorHAnsi" w:hAnsiTheme="majorHAnsi" w:cstheme="majorHAnsi"/>
          <w:color w:val="000000"/>
          <w:sz w:val="24"/>
          <w:szCs w:val="24"/>
        </w:rPr>
        <w:t xml:space="preserve">A </w:t>
      </w:r>
      <w:proofErr w:type="spellStart"/>
      <w:r w:rsidRPr="00282525">
        <w:rPr>
          <w:rFonts w:asciiTheme="majorHAnsi" w:hAnsiTheme="majorHAnsi" w:cstheme="majorHAnsi"/>
          <w:color w:val="000000"/>
          <w:sz w:val="24"/>
          <w:szCs w:val="24"/>
        </w:rPr>
        <w:t>claim</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claim</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addressed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to</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organization</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resolution</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which</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only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involves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two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parties</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organization</w:t>
      </w:r>
      <w:proofErr w:type="spellEnd"/>
      <w:r w:rsidRPr="00282525">
        <w:rPr>
          <w:rFonts w:asciiTheme="majorHAnsi" w:hAnsiTheme="majorHAnsi" w:cstheme="majorHAnsi"/>
          <w:color w:val="000000"/>
          <w:sz w:val="24"/>
          <w:szCs w:val="24"/>
        </w:rPr>
        <w:t xml:space="preserve"> and the </w:t>
      </w:r>
      <w:proofErr w:type="spellStart"/>
      <w:r w:rsidRPr="00282525">
        <w:rPr>
          <w:rFonts w:asciiTheme="majorHAnsi" w:hAnsiTheme="majorHAnsi" w:cstheme="majorHAnsi"/>
          <w:color w:val="000000"/>
          <w:sz w:val="24"/>
          <w:szCs w:val="24"/>
        </w:rPr>
        <w:t>reporter</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contrast</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report</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alleged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misconduct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based</w:t>
      </w:r>
      <w:proofErr w:type="spellEnd"/>
      <w:r w:rsidRPr="00282525">
        <w:rPr>
          <w:rFonts w:asciiTheme="majorHAnsi" w:hAnsiTheme="majorHAnsi" w:cstheme="majorHAnsi"/>
          <w:color w:val="000000"/>
          <w:sz w:val="24"/>
          <w:szCs w:val="24"/>
        </w:rPr>
        <w:t xml:space="preserve"> on an </w:t>
      </w:r>
      <w:proofErr w:type="spellStart"/>
      <w:r w:rsidRPr="00282525">
        <w:rPr>
          <w:rFonts w:asciiTheme="majorHAnsi" w:hAnsiTheme="majorHAnsi" w:cstheme="majorHAnsi"/>
          <w:color w:val="000000"/>
          <w:sz w:val="24"/>
          <w:szCs w:val="24"/>
        </w:rPr>
        <w:t>allegation</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triggers</w:t>
      </w:r>
      <w:proofErr w:type="spellEnd"/>
      <w:r w:rsidRPr="00282525">
        <w:rPr>
          <w:rFonts w:asciiTheme="majorHAnsi" w:hAnsiTheme="majorHAnsi" w:cstheme="majorHAnsi"/>
          <w:color w:val="000000"/>
          <w:sz w:val="24"/>
          <w:szCs w:val="24"/>
        </w:rPr>
        <w:t xml:space="preserve"> the Appendix G </w:t>
      </w:r>
      <w:proofErr w:type="spellStart"/>
      <w:r w:rsidRPr="00282525">
        <w:rPr>
          <w:rFonts w:asciiTheme="majorHAnsi" w:hAnsiTheme="majorHAnsi" w:cstheme="majorHAnsi"/>
          <w:color w:val="000000"/>
          <w:sz w:val="24"/>
          <w:szCs w:val="24"/>
        </w:rPr>
        <w:t>procedures</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process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directed</w:t>
      </w:r>
      <w:proofErr w:type="spellEnd"/>
      <w:r w:rsidRPr="00282525">
        <w:rPr>
          <w:rFonts w:asciiTheme="majorHAnsi" w:hAnsiTheme="majorHAnsi" w:cstheme="majorHAnsi"/>
          <w:color w:val="000000"/>
          <w:sz w:val="24"/>
          <w:szCs w:val="24"/>
        </w:rPr>
        <w:t xml:space="preserve"> at the </w:t>
      </w:r>
      <w:proofErr w:type="spellStart"/>
      <w:r w:rsidRPr="00282525">
        <w:rPr>
          <w:rFonts w:asciiTheme="majorHAnsi" w:hAnsiTheme="majorHAnsi" w:cstheme="majorHAnsi"/>
          <w:color w:val="000000"/>
          <w:sz w:val="24"/>
          <w:szCs w:val="24"/>
        </w:rPr>
        <w:t>culpability</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staff</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lastRenderedPageBreak/>
        <w:t>member</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question</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potentially</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imposition</w:t>
      </w:r>
      <w:proofErr w:type="spellEnd"/>
      <w:r w:rsidRPr="00282525">
        <w:rPr>
          <w:rFonts w:asciiTheme="majorHAnsi" w:hAnsiTheme="majorHAnsi" w:cstheme="majorHAnsi"/>
          <w:color w:val="000000"/>
          <w:sz w:val="24"/>
          <w:szCs w:val="24"/>
        </w:rPr>
        <w:t xml:space="preserve"> of a </w:t>
      </w:r>
      <w:proofErr w:type="spellStart"/>
      <w:r w:rsidRPr="00282525">
        <w:rPr>
          <w:rFonts w:asciiTheme="majorHAnsi" w:hAnsiTheme="majorHAnsi" w:cstheme="majorHAnsi"/>
          <w:color w:val="000000"/>
          <w:sz w:val="24"/>
          <w:szCs w:val="24"/>
        </w:rPr>
        <w:t>disciplinary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measure</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this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process</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two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parties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are</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organization</w:t>
      </w:r>
      <w:proofErr w:type="spellEnd"/>
      <w:r w:rsidRPr="00282525">
        <w:rPr>
          <w:rFonts w:asciiTheme="majorHAnsi" w:hAnsiTheme="majorHAnsi" w:cstheme="majorHAnsi"/>
          <w:color w:val="000000"/>
          <w:sz w:val="24"/>
          <w:szCs w:val="24"/>
        </w:rPr>
        <w:t xml:space="preserve"> and the </w:t>
      </w:r>
      <w:proofErr w:type="spellStart"/>
      <w:r w:rsidRPr="00282525">
        <w:rPr>
          <w:rFonts w:asciiTheme="majorHAnsi" w:hAnsiTheme="majorHAnsi" w:cstheme="majorHAnsi"/>
          <w:color w:val="000000"/>
          <w:sz w:val="24"/>
          <w:szCs w:val="24"/>
        </w:rPr>
        <w:t>staff</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member</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question</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this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process</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reporter</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misconduct</w:t>
      </w:r>
      <w:proofErr w:type="spellEnd"/>
      <w:r w:rsidRPr="00282525">
        <w:rPr>
          <w:rFonts w:asciiTheme="majorHAnsi" w:hAnsiTheme="majorHAnsi" w:cstheme="majorHAnsi"/>
          <w:color w:val="000000"/>
          <w:sz w:val="24"/>
          <w:szCs w:val="24"/>
        </w:rPr>
        <w:t xml:space="preserve">, a potential </w:t>
      </w:r>
      <w:proofErr w:type="spellStart"/>
      <w:r w:rsidRPr="00282525">
        <w:rPr>
          <w:rFonts w:asciiTheme="majorHAnsi" w:hAnsiTheme="majorHAnsi" w:cstheme="majorHAnsi"/>
          <w:color w:val="000000"/>
          <w:sz w:val="24"/>
          <w:szCs w:val="24"/>
        </w:rPr>
        <w:t>victim</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witness</w:t>
      </w:r>
      <w:proofErr w:type="spellEnd"/>
      <w:r w:rsidRPr="00282525">
        <w:rPr>
          <w:rFonts w:asciiTheme="majorHAnsi" w:hAnsiTheme="majorHAnsi" w:cstheme="majorHAnsi"/>
          <w:color w:val="000000"/>
          <w:sz w:val="24"/>
          <w:szCs w:val="24"/>
        </w:rPr>
        <w:t xml:space="preserve"> and not a </w:t>
      </w:r>
      <w:proofErr w:type="spellStart"/>
      <w:r w:rsidRPr="00282525">
        <w:rPr>
          <w:rFonts w:asciiTheme="majorHAnsi" w:hAnsiTheme="majorHAnsi" w:cstheme="majorHAnsi"/>
          <w:color w:val="000000"/>
          <w:sz w:val="24"/>
          <w:szCs w:val="24"/>
        </w:rPr>
        <w:t>party</w:t>
      </w:r>
      <w:proofErr w:type="spellEnd"/>
      <w:r w:rsidRPr="00282525">
        <w:rPr>
          <w:rFonts w:asciiTheme="majorHAnsi" w:hAnsiTheme="majorHAnsi" w:cstheme="majorHAnsi"/>
          <w:color w:val="000000"/>
          <w:sz w:val="24"/>
          <w:szCs w:val="24"/>
        </w:rPr>
        <w:t xml:space="preserve"> in the </w:t>
      </w:r>
      <w:proofErr w:type="spellStart"/>
      <w:r w:rsidRPr="00282525">
        <w:rPr>
          <w:rFonts w:asciiTheme="majorHAnsi" w:hAnsiTheme="majorHAnsi" w:cstheme="majorHAnsi"/>
          <w:color w:val="000000"/>
          <w:sz w:val="24"/>
          <w:szCs w:val="24"/>
        </w:rPr>
        <w:t>proceedings</w:t>
      </w:r>
      <w:proofErr w:type="spellEnd"/>
      <w:r w:rsidRPr="00282525">
        <w:rPr>
          <w:rFonts w:asciiTheme="majorHAnsi" w:hAnsiTheme="majorHAnsi" w:cstheme="majorHAnsi"/>
          <w:color w:val="000000"/>
          <w:sz w:val="24"/>
          <w:szCs w:val="24"/>
        </w:rPr>
        <w:t>.</w:t>
      </w:r>
      <w:r w:rsidRPr="00282525">
        <w:rPr>
          <w:rFonts w:asciiTheme="majorHAnsi" w:hAnsiTheme="majorHAnsi" w:cstheme="majorHAnsi"/>
          <w:color w:val="000000"/>
          <w:sz w:val="24"/>
          <w:szCs w:val="24"/>
          <w:lang w:val="en-GB"/>
        </w:rPr>
        <w:t>”</w:t>
      </w:r>
    </w:p>
    <w:p w14:paraId="2502C0B3" w14:textId="77777777" w:rsidR="00B5228D" w:rsidRPr="00282525" w:rsidRDefault="00B5228D" w:rsidP="00A64FAC">
      <w:pPr>
        <w:pStyle w:val="Default"/>
        <w:jc w:val="both"/>
        <w:rPr>
          <w:rStyle w:val="Emphasis"/>
          <w:rFonts w:asciiTheme="majorHAnsi" w:hAnsiTheme="majorHAnsi" w:cstheme="majorHAnsi"/>
          <w:i w:val="0"/>
        </w:rPr>
      </w:pPr>
    </w:p>
    <w:p w14:paraId="5B10CBB3" w14:textId="5FCC481A" w:rsidR="00B5228D" w:rsidRPr="00282525" w:rsidRDefault="00B5228D"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This is a significant distinction.  As far as the misconduct investigation is concerned, the victim is in fact the primary witness and not a party</w:t>
      </w:r>
      <w:r w:rsidR="00CF3050" w:rsidRPr="00282525">
        <w:rPr>
          <w:rStyle w:val="Emphasis"/>
          <w:rFonts w:asciiTheme="majorHAnsi" w:hAnsiTheme="majorHAnsi" w:cstheme="majorHAnsi"/>
          <w:i w:val="0"/>
        </w:rPr>
        <w:t xml:space="preserve"> in the proceedings</w:t>
      </w:r>
      <w:r w:rsidRPr="00282525">
        <w:rPr>
          <w:rStyle w:val="Emphasis"/>
          <w:rFonts w:asciiTheme="majorHAnsi" w:hAnsiTheme="majorHAnsi" w:cstheme="majorHAnsi"/>
          <w:i w:val="0"/>
        </w:rPr>
        <w:t xml:space="preserve">.  </w:t>
      </w:r>
      <w:r w:rsidR="001730EB" w:rsidRPr="00282525">
        <w:rPr>
          <w:rStyle w:val="Emphasis"/>
          <w:rFonts w:asciiTheme="majorHAnsi" w:hAnsiTheme="majorHAnsi" w:cstheme="majorHAnsi"/>
          <w:i w:val="0"/>
        </w:rPr>
        <w:t>The subject of the investigation is entitled to due process protections that peculiarly attach to misconduct proceedings.</w:t>
      </w:r>
      <w:r w:rsidR="001074D8" w:rsidRPr="00282525">
        <w:rPr>
          <w:rStyle w:val="Emphasis"/>
          <w:rFonts w:asciiTheme="majorHAnsi" w:hAnsiTheme="majorHAnsi" w:cstheme="majorHAnsi"/>
          <w:i w:val="0"/>
        </w:rPr>
        <w:t xml:space="preserve">  </w:t>
      </w:r>
      <w:r w:rsidR="00442F0A" w:rsidRPr="00282525">
        <w:rPr>
          <w:rStyle w:val="Emphasis"/>
          <w:rFonts w:asciiTheme="majorHAnsi" w:hAnsiTheme="majorHAnsi" w:cstheme="majorHAnsi"/>
          <w:i w:val="0"/>
        </w:rPr>
        <w:t>For example, i</w:t>
      </w:r>
      <w:r w:rsidR="001074D8" w:rsidRPr="00282525">
        <w:rPr>
          <w:rStyle w:val="Emphasis"/>
          <w:rFonts w:asciiTheme="majorHAnsi" w:hAnsiTheme="majorHAnsi" w:cstheme="majorHAnsi"/>
          <w:i w:val="0"/>
        </w:rPr>
        <w:t>t is well-settled that international organizations must prove misconduct beyond a reasonable doubt.</w:t>
      </w:r>
      <w:r w:rsidR="00442F0A" w:rsidRPr="00282525">
        <w:rPr>
          <w:rStyle w:val="Emphasis"/>
          <w:rFonts w:asciiTheme="majorHAnsi" w:hAnsiTheme="majorHAnsi" w:cstheme="majorHAnsi"/>
          <w:i w:val="0"/>
        </w:rPr>
        <w:t xml:space="preserve">  This has created much confusion in the law since international organizations sometimes, as here, take the view that if the subject is not </w:t>
      </w:r>
      <w:r w:rsidR="002C0EBE" w:rsidRPr="00282525">
        <w:rPr>
          <w:rStyle w:val="Emphasis"/>
          <w:rFonts w:asciiTheme="majorHAnsi" w:hAnsiTheme="majorHAnsi" w:cstheme="majorHAnsi"/>
          <w:i w:val="0"/>
        </w:rPr>
        <w:t xml:space="preserve">found guilty of harassment beyond a reasonable doubt there was no harassment.  This recalls the infamous case of O.J. Simpson who </w:t>
      </w:r>
      <w:r w:rsidR="00282525" w:rsidRPr="00282525">
        <w:rPr>
          <w:rStyle w:val="Emphasis"/>
          <w:rFonts w:asciiTheme="majorHAnsi" w:hAnsiTheme="majorHAnsi" w:cstheme="majorHAnsi"/>
          <w:i w:val="0"/>
        </w:rPr>
        <w:t>was arrested</w:t>
      </w:r>
      <w:r w:rsidR="002C0EBE" w:rsidRPr="00282525">
        <w:rPr>
          <w:rStyle w:val="Emphasis"/>
          <w:rFonts w:asciiTheme="majorHAnsi" w:hAnsiTheme="majorHAnsi" w:cstheme="majorHAnsi"/>
          <w:i w:val="0"/>
        </w:rPr>
        <w:t xml:space="preserve"> for the murder of his e</w:t>
      </w:r>
      <w:r w:rsidR="00282525">
        <w:rPr>
          <w:rStyle w:val="Emphasis"/>
          <w:rFonts w:asciiTheme="majorHAnsi" w:hAnsiTheme="majorHAnsi" w:cstheme="majorHAnsi"/>
          <w:i w:val="0"/>
        </w:rPr>
        <w:t xml:space="preserve">x-wife and </w:t>
      </w:r>
      <w:r w:rsidR="004829A6">
        <w:rPr>
          <w:rStyle w:val="Emphasis"/>
          <w:rFonts w:asciiTheme="majorHAnsi" w:hAnsiTheme="majorHAnsi" w:cstheme="majorHAnsi"/>
          <w:i w:val="0"/>
        </w:rPr>
        <w:t xml:space="preserve">her </w:t>
      </w:r>
      <w:r w:rsidR="00282525">
        <w:rPr>
          <w:rStyle w:val="Emphasis"/>
          <w:rFonts w:asciiTheme="majorHAnsi" w:hAnsiTheme="majorHAnsi" w:cstheme="majorHAnsi"/>
          <w:i w:val="0"/>
        </w:rPr>
        <w:t>friend</w:t>
      </w:r>
      <w:r w:rsidR="002C0EBE" w:rsidRPr="00282525">
        <w:rPr>
          <w:rStyle w:val="Emphasis"/>
          <w:rFonts w:asciiTheme="majorHAnsi" w:hAnsiTheme="majorHAnsi" w:cstheme="majorHAnsi"/>
          <w:i w:val="0"/>
        </w:rPr>
        <w:t xml:space="preserve">.  </w:t>
      </w:r>
      <w:r w:rsidR="004829A6">
        <w:rPr>
          <w:rStyle w:val="Emphasis"/>
          <w:rFonts w:asciiTheme="majorHAnsi" w:hAnsiTheme="majorHAnsi" w:cstheme="majorHAnsi"/>
          <w:i w:val="0"/>
        </w:rPr>
        <w:t>Simpson</w:t>
      </w:r>
      <w:r w:rsidR="002C0EBE" w:rsidRPr="00282525">
        <w:rPr>
          <w:rStyle w:val="Emphasis"/>
          <w:rFonts w:asciiTheme="majorHAnsi" w:hAnsiTheme="majorHAnsi" w:cstheme="majorHAnsi"/>
          <w:i w:val="0"/>
        </w:rPr>
        <w:t xml:space="preserve"> was found not guilty </w:t>
      </w:r>
      <w:r w:rsidR="004829A6">
        <w:rPr>
          <w:rStyle w:val="Emphasis"/>
          <w:rFonts w:asciiTheme="majorHAnsi" w:hAnsiTheme="majorHAnsi" w:cstheme="majorHAnsi"/>
          <w:i w:val="0"/>
        </w:rPr>
        <w:t xml:space="preserve">by the jury </w:t>
      </w:r>
      <w:r w:rsidR="002C0EBE" w:rsidRPr="00282525">
        <w:rPr>
          <w:rStyle w:val="Emphasis"/>
          <w:rFonts w:asciiTheme="majorHAnsi" w:hAnsiTheme="majorHAnsi" w:cstheme="majorHAnsi"/>
          <w:i w:val="0"/>
        </w:rPr>
        <w:t>in the criminal proceeding since the prosecution did not prove its ca</w:t>
      </w:r>
      <w:r w:rsidR="00282525">
        <w:rPr>
          <w:rStyle w:val="Emphasis"/>
          <w:rFonts w:asciiTheme="majorHAnsi" w:hAnsiTheme="majorHAnsi" w:cstheme="majorHAnsi"/>
          <w:i w:val="0"/>
        </w:rPr>
        <w:t>s</w:t>
      </w:r>
      <w:r w:rsidR="002C0EBE" w:rsidRPr="00282525">
        <w:rPr>
          <w:rStyle w:val="Emphasis"/>
          <w:rFonts w:asciiTheme="majorHAnsi" w:hAnsiTheme="majorHAnsi" w:cstheme="majorHAnsi"/>
          <w:i w:val="0"/>
        </w:rPr>
        <w:t>e beyond a reasonable doubt.  In civil court, where a much lower</w:t>
      </w:r>
      <w:r w:rsidR="004E2AA3">
        <w:rPr>
          <w:rStyle w:val="Emphasis"/>
          <w:rFonts w:asciiTheme="majorHAnsi" w:hAnsiTheme="majorHAnsi" w:cstheme="majorHAnsi"/>
          <w:i w:val="0"/>
        </w:rPr>
        <w:t xml:space="preserve"> evidentiary</w:t>
      </w:r>
      <w:r w:rsidR="002C0EBE" w:rsidRPr="00282525">
        <w:rPr>
          <w:rStyle w:val="Emphasis"/>
          <w:rFonts w:asciiTheme="majorHAnsi" w:hAnsiTheme="majorHAnsi" w:cstheme="majorHAnsi"/>
          <w:i w:val="0"/>
        </w:rPr>
        <w:t xml:space="preserve"> standard applies, Simpson was found </w:t>
      </w:r>
      <w:r w:rsidR="000E3AC4">
        <w:rPr>
          <w:rStyle w:val="Emphasis"/>
          <w:rFonts w:asciiTheme="majorHAnsi" w:hAnsiTheme="majorHAnsi" w:cstheme="majorHAnsi"/>
          <w:i w:val="0"/>
        </w:rPr>
        <w:t xml:space="preserve">responsible for their deaths </w:t>
      </w:r>
      <w:r w:rsidR="004E2AA3" w:rsidRPr="00282525">
        <w:rPr>
          <w:rStyle w:val="Emphasis"/>
          <w:rFonts w:asciiTheme="majorHAnsi" w:hAnsiTheme="majorHAnsi" w:cstheme="majorHAnsi"/>
          <w:i w:val="0"/>
        </w:rPr>
        <w:t xml:space="preserve">in civil court </w:t>
      </w:r>
      <w:r w:rsidR="004E2AA3">
        <w:rPr>
          <w:rStyle w:val="Emphasis"/>
          <w:rFonts w:asciiTheme="majorHAnsi" w:hAnsiTheme="majorHAnsi" w:cstheme="majorHAnsi"/>
          <w:i w:val="0"/>
        </w:rPr>
        <w:t xml:space="preserve">and ordered </w:t>
      </w:r>
      <w:r w:rsidR="002C0EBE" w:rsidRPr="00282525">
        <w:rPr>
          <w:rStyle w:val="Emphasis"/>
          <w:rFonts w:asciiTheme="majorHAnsi" w:hAnsiTheme="majorHAnsi" w:cstheme="majorHAnsi"/>
          <w:i w:val="0"/>
        </w:rPr>
        <w:t>to pay significant financial damages to the</w:t>
      </w:r>
      <w:r w:rsidR="000E3AC4">
        <w:rPr>
          <w:rStyle w:val="Emphasis"/>
          <w:rFonts w:asciiTheme="majorHAnsi" w:hAnsiTheme="majorHAnsi" w:cstheme="majorHAnsi"/>
          <w:i w:val="0"/>
        </w:rPr>
        <w:t xml:space="preserve"> families of the victims</w:t>
      </w:r>
      <w:r w:rsidR="002C0EBE" w:rsidRPr="00282525">
        <w:rPr>
          <w:rStyle w:val="Emphasis"/>
          <w:rFonts w:asciiTheme="majorHAnsi" w:hAnsiTheme="majorHAnsi" w:cstheme="majorHAnsi"/>
          <w:i w:val="0"/>
        </w:rPr>
        <w:t>.</w:t>
      </w:r>
    </w:p>
    <w:p w14:paraId="46E68573" w14:textId="149A61D3" w:rsidR="00CF3050" w:rsidRPr="00282525" w:rsidRDefault="00CF3050" w:rsidP="00A64FAC">
      <w:pPr>
        <w:pStyle w:val="Default"/>
        <w:jc w:val="both"/>
        <w:rPr>
          <w:rStyle w:val="Emphasis"/>
          <w:rFonts w:asciiTheme="majorHAnsi" w:hAnsiTheme="majorHAnsi" w:cstheme="majorHAnsi"/>
          <w:i w:val="0"/>
        </w:rPr>
      </w:pPr>
    </w:p>
    <w:p w14:paraId="1466E7D4" w14:textId="11681323" w:rsidR="00CF3050" w:rsidRPr="00282525" w:rsidRDefault="00CF3050" w:rsidP="00CF3050">
      <w:pPr>
        <w:pStyle w:val="Default"/>
        <w:jc w:val="both"/>
        <w:rPr>
          <w:rFonts w:asciiTheme="majorHAnsi" w:hAnsiTheme="majorHAnsi" w:cstheme="majorHAnsi"/>
        </w:rPr>
      </w:pPr>
      <w:r w:rsidRPr="00282525">
        <w:rPr>
          <w:rStyle w:val="Emphasis"/>
          <w:rFonts w:asciiTheme="majorHAnsi" w:hAnsiTheme="majorHAnsi" w:cstheme="majorHAnsi"/>
          <w:i w:val="0"/>
        </w:rPr>
        <w:t xml:space="preserve">The Tribunal then observed that the Agency at that time did not have procedures to deal with complaints of harassment comprehensively. In the absence of such procedures, the Tribunal held that the Agency was obligated to </w:t>
      </w:r>
      <w:r w:rsidRPr="00282525">
        <w:rPr>
          <w:rFonts w:asciiTheme="majorHAnsi" w:hAnsiTheme="majorHAnsi" w:cstheme="majorHAnsi"/>
        </w:rPr>
        <w:t xml:space="preserve">respond to the complainant’s </w:t>
      </w:r>
      <w:r w:rsidR="001730EB" w:rsidRPr="00282525">
        <w:rPr>
          <w:rFonts w:asciiTheme="majorHAnsi" w:hAnsiTheme="majorHAnsi" w:cstheme="majorHAnsi"/>
        </w:rPr>
        <w:t>harassment</w:t>
      </w:r>
      <w:r w:rsidRPr="00282525">
        <w:rPr>
          <w:rFonts w:asciiTheme="majorHAnsi" w:hAnsiTheme="majorHAnsi" w:cstheme="majorHAnsi"/>
        </w:rPr>
        <w:t xml:space="preserve"> </w:t>
      </w:r>
      <w:r w:rsidR="00874E7C" w:rsidRPr="00282525">
        <w:rPr>
          <w:rFonts w:asciiTheme="majorHAnsi" w:hAnsiTheme="majorHAnsi" w:cstheme="majorHAnsi"/>
        </w:rPr>
        <w:t xml:space="preserve">complaint </w:t>
      </w:r>
      <w:r w:rsidRPr="00282525">
        <w:rPr>
          <w:rFonts w:asciiTheme="majorHAnsi" w:hAnsiTheme="majorHAnsi" w:cstheme="majorHAnsi"/>
        </w:rPr>
        <w:t>in accordance with the Tribunal’s relevant case law”</w:t>
      </w:r>
      <w:r w:rsidR="004829A6">
        <w:rPr>
          <w:rFonts w:asciiTheme="majorHAnsi" w:hAnsiTheme="majorHAnsi" w:cstheme="majorHAnsi"/>
        </w:rPr>
        <w:t xml:space="preserve">, which </w:t>
      </w:r>
      <w:r w:rsidR="001074D8" w:rsidRPr="00282525">
        <w:rPr>
          <w:rStyle w:val="Emphasis"/>
          <w:rFonts w:asciiTheme="majorHAnsi" w:hAnsiTheme="majorHAnsi" w:cstheme="majorHAnsi"/>
          <w:i w:val="0"/>
        </w:rPr>
        <w:t xml:space="preserve">requires a thorough and timely investigation, and importantly that </w:t>
      </w:r>
      <w:r w:rsidRPr="00282525">
        <w:rPr>
          <w:rStyle w:val="Emphasis"/>
          <w:rFonts w:asciiTheme="majorHAnsi" w:hAnsiTheme="majorHAnsi" w:cstheme="majorHAnsi"/>
          <w:i w:val="0"/>
        </w:rPr>
        <w:t>“</w:t>
      </w:r>
      <w:r w:rsidRPr="00282525">
        <w:rPr>
          <w:rFonts w:asciiTheme="majorHAnsi" w:hAnsiTheme="majorHAnsi" w:cstheme="majorHAnsi"/>
        </w:rPr>
        <w:t>the applicable standard of proof for a finding of harassment in a case such as this is not ‘beyond a reasonable doubt’ but a less onerous standard (see Judgment 3725, consideration 14).”  The Tribunal did not say this explicitly but certainly it means the preponderance of the evidence</w:t>
      </w:r>
      <w:r w:rsidR="00874E7C" w:rsidRPr="00282525">
        <w:rPr>
          <w:rFonts w:asciiTheme="majorHAnsi" w:hAnsiTheme="majorHAnsi" w:cstheme="majorHAnsi"/>
        </w:rPr>
        <w:t>;</w:t>
      </w:r>
      <w:r w:rsidRPr="00282525">
        <w:rPr>
          <w:rFonts w:asciiTheme="majorHAnsi" w:hAnsiTheme="majorHAnsi" w:cstheme="majorHAnsi"/>
        </w:rPr>
        <w:t xml:space="preserve"> or more likely than not</w:t>
      </w:r>
      <w:r w:rsidR="00874E7C" w:rsidRPr="00282525">
        <w:rPr>
          <w:rFonts w:asciiTheme="majorHAnsi" w:hAnsiTheme="majorHAnsi" w:cstheme="majorHAnsi"/>
        </w:rPr>
        <w:t>;</w:t>
      </w:r>
      <w:r w:rsidRPr="00282525">
        <w:rPr>
          <w:rFonts w:asciiTheme="majorHAnsi" w:hAnsiTheme="majorHAnsi" w:cstheme="majorHAnsi"/>
        </w:rPr>
        <w:t xml:space="preserve"> or better than a 50 per cent chance standard</w:t>
      </w:r>
      <w:r w:rsidR="00874E7C" w:rsidRPr="00282525">
        <w:rPr>
          <w:rFonts w:asciiTheme="majorHAnsi" w:hAnsiTheme="majorHAnsi" w:cstheme="majorHAnsi"/>
        </w:rPr>
        <w:t xml:space="preserve">, which is the normal </w:t>
      </w:r>
      <w:r w:rsidR="004829A6">
        <w:rPr>
          <w:rFonts w:asciiTheme="majorHAnsi" w:hAnsiTheme="majorHAnsi" w:cstheme="majorHAnsi"/>
        </w:rPr>
        <w:t>burden of proof</w:t>
      </w:r>
      <w:r w:rsidR="00874E7C" w:rsidRPr="00282525">
        <w:rPr>
          <w:rFonts w:asciiTheme="majorHAnsi" w:hAnsiTheme="majorHAnsi" w:cstheme="majorHAnsi"/>
        </w:rPr>
        <w:t xml:space="preserve"> applied by the Tribunal</w:t>
      </w:r>
      <w:r w:rsidRPr="00282525">
        <w:rPr>
          <w:rFonts w:asciiTheme="majorHAnsi" w:hAnsiTheme="majorHAnsi" w:cstheme="majorHAnsi"/>
        </w:rPr>
        <w:t>.  The Tribunal added that, citing Judgment 2706, “an international organisation is liable for all the injuries caused to a staff member by their supervisor acting in the course of his or her duties, when the victim is subjected to treatment that is an affront to his or her personal and professional dignity . . . an international organization must take proper actions to protect a victim of harassment.”</w:t>
      </w:r>
    </w:p>
    <w:p w14:paraId="3E92BAB0" w14:textId="1E10D405" w:rsidR="00CF3050" w:rsidRPr="00282525" w:rsidRDefault="00CF3050" w:rsidP="00CF3050">
      <w:pPr>
        <w:pStyle w:val="Default"/>
        <w:jc w:val="both"/>
        <w:rPr>
          <w:rFonts w:asciiTheme="majorHAnsi" w:hAnsiTheme="majorHAnsi" w:cstheme="majorHAnsi"/>
        </w:rPr>
      </w:pPr>
    </w:p>
    <w:p w14:paraId="06A294BE" w14:textId="5DFC56F3" w:rsidR="00CF3050" w:rsidRPr="00282525" w:rsidRDefault="00CF3050" w:rsidP="00CF3050">
      <w:pPr>
        <w:pStyle w:val="Default"/>
        <w:jc w:val="both"/>
        <w:rPr>
          <w:rFonts w:asciiTheme="majorHAnsi" w:hAnsiTheme="majorHAnsi" w:cstheme="majorHAnsi"/>
        </w:rPr>
      </w:pPr>
      <w:r w:rsidRPr="00282525">
        <w:rPr>
          <w:rFonts w:asciiTheme="majorHAnsi" w:hAnsiTheme="majorHAnsi" w:cstheme="majorHAnsi"/>
        </w:rPr>
        <w:t xml:space="preserve">The Tribunal then had to deal with the issue of whether the Agency conducted a thorough investigation.  In this respect, it noted that the OIOS investigation was conducted as a misconduct investigation but implicitly found that it was sufficient for the harassment </w:t>
      </w:r>
      <w:proofErr w:type="gramStart"/>
      <w:r w:rsidRPr="00282525">
        <w:rPr>
          <w:rFonts w:asciiTheme="majorHAnsi" w:hAnsiTheme="majorHAnsi" w:cstheme="majorHAnsi"/>
        </w:rPr>
        <w:t>complaint, and</w:t>
      </w:r>
      <w:proofErr w:type="gramEnd"/>
      <w:r w:rsidRPr="00282525">
        <w:rPr>
          <w:rFonts w:asciiTheme="majorHAnsi" w:hAnsiTheme="majorHAnsi" w:cstheme="majorHAnsi"/>
        </w:rPr>
        <w:t xml:space="preserve"> stated that the </w:t>
      </w:r>
      <w:r w:rsidR="002C0EBE" w:rsidRPr="00282525">
        <w:rPr>
          <w:rFonts w:asciiTheme="majorHAnsi" w:hAnsiTheme="majorHAnsi" w:cstheme="majorHAnsi"/>
        </w:rPr>
        <w:t xml:space="preserve">OIOS </w:t>
      </w:r>
      <w:r w:rsidRPr="00282525">
        <w:rPr>
          <w:rFonts w:asciiTheme="majorHAnsi" w:hAnsiTheme="majorHAnsi" w:cstheme="majorHAnsi"/>
        </w:rPr>
        <w:t>investigation was “thorough” and “issued in a timely manner.”  Indeed, in this case, the OIOS issued its report within six (6) months in September 2015 of receipt of the complaint</w:t>
      </w:r>
      <w:r w:rsidR="001730EB" w:rsidRPr="00282525">
        <w:rPr>
          <w:rFonts w:asciiTheme="majorHAnsi" w:hAnsiTheme="majorHAnsi" w:cstheme="majorHAnsi"/>
        </w:rPr>
        <w:t xml:space="preserve">.  However, </w:t>
      </w:r>
      <w:r w:rsidR="00874E7C" w:rsidRPr="00282525">
        <w:rPr>
          <w:rFonts w:asciiTheme="majorHAnsi" w:hAnsiTheme="majorHAnsi" w:cstheme="majorHAnsi"/>
        </w:rPr>
        <w:t>despite repeated requests, the victim did not receive notice of the formal outcome of the investigation until 14 months later in January 2017</w:t>
      </w:r>
      <w:r w:rsidRPr="00282525">
        <w:rPr>
          <w:rFonts w:asciiTheme="majorHAnsi" w:hAnsiTheme="majorHAnsi" w:cstheme="majorHAnsi"/>
        </w:rPr>
        <w:t>.</w:t>
      </w:r>
      <w:r w:rsidR="00874E7C" w:rsidRPr="00282525">
        <w:rPr>
          <w:rFonts w:asciiTheme="majorHAnsi" w:hAnsiTheme="majorHAnsi" w:cstheme="majorHAnsi"/>
        </w:rPr>
        <w:t xml:space="preserve">  The Tribunal also significantly clarified and confirmed that the victim of harassment must be notified of the outcome of the investigation.  The Tribunal was very </w:t>
      </w:r>
      <w:r w:rsidR="00442F0A" w:rsidRPr="00282525">
        <w:rPr>
          <w:rFonts w:asciiTheme="majorHAnsi" w:hAnsiTheme="majorHAnsi" w:cstheme="majorHAnsi"/>
        </w:rPr>
        <w:t>troubled</w:t>
      </w:r>
      <w:r w:rsidR="00874E7C" w:rsidRPr="00282525">
        <w:rPr>
          <w:rFonts w:asciiTheme="majorHAnsi" w:hAnsiTheme="majorHAnsi" w:cstheme="majorHAnsi"/>
        </w:rPr>
        <w:t xml:space="preserve"> by the </w:t>
      </w:r>
      <w:r w:rsidR="00442F0A" w:rsidRPr="00282525">
        <w:rPr>
          <w:rFonts w:asciiTheme="majorHAnsi" w:hAnsiTheme="majorHAnsi" w:cstheme="majorHAnsi"/>
        </w:rPr>
        <w:t xml:space="preserve">unjustified </w:t>
      </w:r>
      <w:r w:rsidR="00874E7C" w:rsidRPr="00282525">
        <w:rPr>
          <w:rFonts w:asciiTheme="majorHAnsi" w:hAnsiTheme="majorHAnsi" w:cstheme="majorHAnsi"/>
        </w:rPr>
        <w:t>delay and stated:</w:t>
      </w:r>
    </w:p>
    <w:p w14:paraId="23E97592" w14:textId="77777777" w:rsidR="00874E7C" w:rsidRPr="00282525" w:rsidRDefault="00874E7C" w:rsidP="00874E7C">
      <w:pPr>
        <w:autoSpaceDE w:val="0"/>
        <w:autoSpaceDN w:val="0"/>
        <w:adjustRightInd w:val="0"/>
        <w:spacing w:after="0" w:line="240" w:lineRule="auto"/>
        <w:rPr>
          <w:rFonts w:asciiTheme="majorHAnsi" w:hAnsiTheme="majorHAnsi" w:cstheme="majorHAnsi"/>
          <w:color w:val="000000"/>
          <w:sz w:val="24"/>
          <w:szCs w:val="24"/>
        </w:rPr>
      </w:pPr>
    </w:p>
    <w:p w14:paraId="4E501C1C" w14:textId="359D4C7F" w:rsidR="00874E7C" w:rsidRPr="00282525" w:rsidRDefault="00874E7C" w:rsidP="00874E7C">
      <w:pPr>
        <w:autoSpaceDE w:val="0"/>
        <w:autoSpaceDN w:val="0"/>
        <w:adjustRightInd w:val="0"/>
        <w:spacing w:after="0" w:line="240" w:lineRule="auto"/>
        <w:ind w:left="1134" w:right="1134"/>
        <w:jc w:val="both"/>
        <w:rPr>
          <w:rFonts w:asciiTheme="majorHAnsi" w:hAnsiTheme="majorHAnsi" w:cstheme="majorHAnsi"/>
          <w:color w:val="000000"/>
          <w:sz w:val="24"/>
          <w:szCs w:val="24"/>
          <w:lang w:val="en-GB"/>
        </w:rPr>
      </w:pPr>
      <w:r w:rsidRPr="00282525">
        <w:rPr>
          <w:rFonts w:asciiTheme="majorHAnsi" w:hAnsiTheme="majorHAnsi" w:cstheme="majorHAnsi"/>
          <w:color w:val="000000"/>
          <w:sz w:val="24"/>
          <w:szCs w:val="24"/>
          <w:lang w:val="en-GB"/>
        </w:rPr>
        <w:t>“</w:t>
      </w:r>
      <w:proofErr w:type="spellStart"/>
      <w:r w:rsidRPr="00282525">
        <w:rPr>
          <w:rFonts w:asciiTheme="majorHAnsi" w:hAnsiTheme="majorHAnsi" w:cstheme="majorHAnsi"/>
          <w:color w:val="000000"/>
          <w:sz w:val="24"/>
          <w:szCs w:val="24"/>
        </w:rPr>
        <w:t>Allowing</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reasonable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amount</w:t>
      </w:r>
      <w:proofErr w:type="spellEnd"/>
      <w:r w:rsidRPr="00282525">
        <w:rPr>
          <w:rFonts w:asciiTheme="majorHAnsi" w:hAnsiTheme="majorHAnsi" w:cstheme="majorHAnsi"/>
          <w:color w:val="000000"/>
          <w:sz w:val="24"/>
          <w:szCs w:val="24"/>
        </w:rPr>
        <w:t xml:space="preserve"> of time </w:t>
      </w:r>
      <w:proofErr w:type="spellStart"/>
      <w:r w:rsidRPr="00282525">
        <w:rPr>
          <w:rFonts w:asciiTheme="majorHAnsi" w:hAnsiTheme="majorHAnsi" w:cstheme="majorHAnsi"/>
          <w:color w:val="000000"/>
          <w:sz w:val="24"/>
          <w:szCs w:val="24"/>
        </w:rPr>
        <w:t>for</w:t>
      </w:r>
      <w:proofErr w:type="spellEnd"/>
      <w:r w:rsidRPr="00282525">
        <w:rPr>
          <w:rFonts w:asciiTheme="majorHAnsi" w:hAnsiTheme="majorHAnsi" w:cstheme="majorHAnsi"/>
          <w:color w:val="000000"/>
          <w:sz w:val="24"/>
          <w:szCs w:val="24"/>
        </w:rPr>
        <w:t xml:space="preserve"> the Administration </w:t>
      </w:r>
      <w:proofErr w:type="spellStart"/>
      <w:r w:rsidRPr="00282525">
        <w:rPr>
          <w:rFonts w:asciiTheme="majorHAnsi" w:hAnsiTheme="majorHAnsi" w:cstheme="majorHAnsi"/>
          <w:color w:val="000000"/>
          <w:sz w:val="24"/>
          <w:szCs w:val="24"/>
        </w:rPr>
        <w:t>to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respond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to</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claim</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should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have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received</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decision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regarding</w:t>
      </w:r>
      <w:proofErr w:type="spellEnd"/>
      <w:r w:rsidRPr="00282525">
        <w:rPr>
          <w:rFonts w:asciiTheme="majorHAnsi" w:hAnsiTheme="majorHAnsi" w:cstheme="majorHAnsi"/>
          <w:color w:val="000000"/>
          <w:sz w:val="24"/>
          <w:szCs w:val="24"/>
        </w:rPr>
        <w:t xml:space="preserve"> her </w:t>
      </w:r>
      <w:proofErr w:type="spellStart"/>
      <w:r w:rsidRPr="00282525">
        <w:rPr>
          <w:rFonts w:asciiTheme="majorHAnsi" w:hAnsiTheme="majorHAnsi" w:cstheme="majorHAnsi"/>
          <w:color w:val="000000"/>
          <w:sz w:val="24"/>
          <w:szCs w:val="24"/>
        </w:rPr>
        <w:t>claim</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no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later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than</w:t>
      </w:r>
      <w:proofErr w:type="spellEnd"/>
      <w:r w:rsidRPr="00282525">
        <w:rPr>
          <w:rFonts w:asciiTheme="majorHAnsi" w:hAnsiTheme="majorHAnsi" w:cstheme="majorHAnsi"/>
          <w:color w:val="000000"/>
          <w:sz w:val="24"/>
          <w:szCs w:val="24"/>
        </w:rPr>
        <w:t xml:space="preserve"> 30 November 2015. </w:t>
      </w:r>
      <w:proofErr w:type="spellStart"/>
      <w:r w:rsidRPr="00282525">
        <w:rPr>
          <w:rFonts w:asciiTheme="majorHAnsi" w:hAnsiTheme="majorHAnsi" w:cstheme="majorHAnsi"/>
          <w:color w:val="000000"/>
          <w:sz w:val="24"/>
          <w:szCs w:val="24"/>
        </w:rPr>
        <w:t>However</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did</w:t>
      </w:r>
      <w:proofErr w:type="spellEnd"/>
      <w:r w:rsidRPr="00282525">
        <w:rPr>
          <w:rFonts w:asciiTheme="majorHAnsi" w:hAnsiTheme="majorHAnsi" w:cstheme="majorHAnsi"/>
          <w:color w:val="000000"/>
          <w:sz w:val="24"/>
          <w:szCs w:val="24"/>
        </w:rPr>
        <w:t xml:space="preserve"> not </w:t>
      </w:r>
      <w:proofErr w:type="spellStart"/>
      <w:r w:rsidRPr="00282525">
        <w:rPr>
          <w:rFonts w:asciiTheme="majorHAnsi" w:hAnsiTheme="majorHAnsi" w:cstheme="majorHAnsi"/>
          <w:color w:val="000000"/>
          <w:sz w:val="24"/>
          <w:szCs w:val="24"/>
        </w:rPr>
        <w:t>receive</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decision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lastRenderedPageBreak/>
        <w:t>until</w:t>
      </w:r>
      <w:proofErr w:type="spellEnd"/>
      <w:r w:rsidRPr="00282525">
        <w:rPr>
          <w:rFonts w:asciiTheme="majorHAnsi" w:hAnsiTheme="majorHAnsi" w:cstheme="majorHAnsi"/>
          <w:color w:val="000000"/>
          <w:sz w:val="24"/>
          <w:szCs w:val="24"/>
        </w:rPr>
        <w:t xml:space="preserve"> 31 </w:t>
      </w:r>
      <w:proofErr w:type="spellStart"/>
      <w:r w:rsidRPr="00282525">
        <w:rPr>
          <w:rFonts w:asciiTheme="majorHAnsi" w:hAnsiTheme="majorHAnsi" w:cstheme="majorHAnsi"/>
          <w:color w:val="000000"/>
          <w:sz w:val="24"/>
          <w:szCs w:val="24"/>
        </w:rPr>
        <w:t>January</w:t>
      </w:r>
      <w:proofErr w:type="spellEnd"/>
      <w:r w:rsidRPr="00282525">
        <w:rPr>
          <w:rFonts w:asciiTheme="majorHAnsi" w:hAnsiTheme="majorHAnsi" w:cstheme="majorHAnsi"/>
          <w:color w:val="000000"/>
          <w:sz w:val="24"/>
          <w:szCs w:val="24"/>
        </w:rPr>
        <w:t xml:space="preserve"> 2017. The </w:t>
      </w:r>
      <w:proofErr w:type="spellStart"/>
      <w:r w:rsidRPr="00282525">
        <w:rPr>
          <w:rFonts w:asciiTheme="majorHAnsi" w:hAnsiTheme="majorHAnsi" w:cstheme="majorHAnsi"/>
          <w:color w:val="000000"/>
          <w:sz w:val="24"/>
          <w:szCs w:val="24"/>
        </w:rPr>
        <w:t>unjustified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delay</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fourteen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months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inexcusable</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unreasonable</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caused</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significant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harm</w:t>
      </w:r>
      <w:proofErr w:type="spellEnd"/>
      <w:r w:rsidRPr="00282525">
        <w:rPr>
          <w:rFonts w:asciiTheme="majorHAnsi" w:hAnsiTheme="majorHAnsi" w:cstheme="majorHAnsi"/>
          <w:color w:val="000000"/>
          <w:sz w:val="24"/>
          <w:szCs w:val="24"/>
        </w:rPr>
        <w:t xml:space="preserve">. As </w:t>
      </w:r>
      <w:proofErr w:type="spellStart"/>
      <w:r w:rsidRPr="00282525">
        <w:rPr>
          <w:rFonts w:asciiTheme="majorHAnsi" w:hAnsiTheme="majorHAnsi" w:cstheme="majorHAnsi"/>
          <w:color w:val="000000"/>
          <w:sz w:val="24"/>
          <w:szCs w:val="24"/>
        </w:rPr>
        <w:t>reflected</w:t>
      </w:r>
      <w:proofErr w:type="spellEnd"/>
      <w:r w:rsidRPr="00282525">
        <w:rPr>
          <w:rFonts w:asciiTheme="majorHAnsi" w:hAnsiTheme="majorHAnsi" w:cstheme="majorHAnsi"/>
          <w:color w:val="000000"/>
          <w:sz w:val="24"/>
          <w:szCs w:val="24"/>
        </w:rPr>
        <w:t xml:space="preserve"> in the </w:t>
      </w:r>
      <w:proofErr w:type="spellStart"/>
      <w:r w:rsidRPr="00282525">
        <w:rPr>
          <w:rFonts w:asciiTheme="majorHAnsi" w:hAnsiTheme="majorHAnsi" w:cstheme="majorHAnsi"/>
          <w:color w:val="000000"/>
          <w:sz w:val="24"/>
          <w:szCs w:val="24"/>
        </w:rPr>
        <w:t>complainant’s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communications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to</w:t>
      </w:r>
      <w:proofErr w:type="spellEnd"/>
      <w:r w:rsidRPr="00282525">
        <w:rPr>
          <w:rFonts w:asciiTheme="majorHAnsi" w:hAnsiTheme="majorHAnsi" w:cstheme="majorHAnsi"/>
          <w:color w:val="000000"/>
          <w:sz w:val="24"/>
          <w:szCs w:val="24"/>
        </w:rPr>
        <w:t xml:space="preserve"> the Administration and the </w:t>
      </w:r>
      <w:proofErr w:type="spellStart"/>
      <w:r w:rsidRPr="00282525">
        <w:rPr>
          <w:rFonts w:asciiTheme="majorHAnsi" w:hAnsiTheme="majorHAnsi" w:cstheme="majorHAnsi"/>
          <w:color w:val="000000"/>
          <w:sz w:val="24"/>
          <w:szCs w:val="24"/>
        </w:rPr>
        <w:t>Director</w:t>
      </w:r>
      <w:proofErr w:type="spellEnd"/>
      <w:r w:rsidRPr="00282525">
        <w:rPr>
          <w:rFonts w:asciiTheme="majorHAnsi" w:hAnsiTheme="majorHAnsi" w:cstheme="majorHAnsi"/>
          <w:color w:val="000000"/>
          <w:sz w:val="24"/>
          <w:szCs w:val="24"/>
        </w:rPr>
        <w:t xml:space="preserve"> General, </w:t>
      </w:r>
      <w:proofErr w:type="spellStart"/>
      <w:r w:rsidRPr="00282525">
        <w:rPr>
          <w:rFonts w:asciiTheme="majorHAnsi" w:hAnsiTheme="majorHAnsi" w:cstheme="majorHAnsi"/>
          <w:color w:val="000000"/>
          <w:sz w:val="24"/>
          <w:szCs w:val="24"/>
        </w:rPr>
        <w:t>this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delay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caused</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significant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distress</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feeling</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isolation</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stigmatization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fear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for</w:t>
      </w:r>
      <w:proofErr w:type="spellEnd"/>
      <w:r w:rsidRPr="00282525">
        <w:rPr>
          <w:rFonts w:asciiTheme="majorHAnsi" w:hAnsiTheme="majorHAnsi" w:cstheme="majorHAnsi"/>
          <w:color w:val="000000"/>
          <w:sz w:val="24"/>
          <w:szCs w:val="24"/>
        </w:rPr>
        <w:t xml:space="preserve"> her personal </w:t>
      </w:r>
      <w:proofErr w:type="spellStart"/>
      <w:r w:rsidRPr="00282525">
        <w:rPr>
          <w:rFonts w:asciiTheme="majorHAnsi" w:hAnsiTheme="majorHAnsi" w:cstheme="majorHAnsi"/>
          <w:color w:val="000000"/>
          <w:sz w:val="24"/>
          <w:szCs w:val="24"/>
        </w:rPr>
        <w:t>security</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worry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about</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continuation</w:t>
      </w:r>
      <w:proofErr w:type="spellEnd"/>
      <w:r w:rsidRPr="00282525">
        <w:rPr>
          <w:rFonts w:asciiTheme="majorHAnsi" w:hAnsiTheme="majorHAnsi" w:cstheme="majorHAnsi"/>
          <w:color w:val="000000"/>
          <w:sz w:val="24"/>
          <w:szCs w:val="24"/>
        </w:rPr>
        <w:t xml:space="preserve"> of her </w:t>
      </w:r>
      <w:proofErr w:type="spellStart"/>
      <w:r w:rsidRPr="00282525">
        <w:rPr>
          <w:rFonts w:asciiTheme="majorHAnsi" w:hAnsiTheme="majorHAnsi" w:cstheme="majorHAnsi"/>
          <w:color w:val="000000"/>
          <w:sz w:val="24"/>
          <w:szCs w:val="24"/>
        </w:rPr>
        <w:t>employment</w:t>
      </w:r>
      <w:proofErr w:type="spellEnd"/>
      <w:r w:rsidRPr="00282525">
        <w:rPr>
          <w:rFonts w:asciiTheme="majorHAnsi" w:hAnsiTheme="majorHAnsi" w:cstheme="majorHAnsi"/>
          <w:color w:val="000000"/>
          <w:sz w:val="24"/>
          <w:szCs w:val="24"/>
        </w:rPr>
        <w:t>.</w:t>
      </w:r>
      <w:r w:rsidRPr="00282525">
        <w:rPr>
          <w:rFonts w:asciiTheme="majorHAnsi" w:hAnsiTheme="majorHAnsi" w:cstheme="majorHAnsi"/>
          <w:color w:val="000000"/>
          <w:sz w:val="24"/>
          <w:szCs w:val="24"/>
          <w:lang w:val="en-GB"/>
        </w:rPr>
        <w:t>”</w:t>
      </w:r>
    </w:p>
    <w:p w14:paraId="1C8DFAE2" w14:textId="77777777" w:rsidR="00874E7C" w:rsidRPr="00282525" w:rsidRDefault="00874E7C" w:rsidP="00CF3050">
      <w:pPr>
        <w:pStyle w:val="Default"/>
        <w:jc w:val="both"/>
        <w:rPr>
          <w:rFonts w:asciiTheme="majorHAnsi" w:hAnsiTheme="majorHAnsi" w:cstheme="majorHAnsi"/>
        </w:rPr>
      </w:pPr>
    </w:p>
    <w:p w14:paraId="1CF191C8" w14:textId="2A022A08" w:rsidR="00CF3050" w:rsidRPr="00282525" w:rsidRDefault="00874E7C" w:rsidP="00CF3050">
      <w:pPr>
        <w:pStyle w:val="Default"/>
        <w:jc w:val="both"/>
        <w:rPr>
          <w:rFonts w:asciiTheme="majorHAnsi" w:hAnsiTheme="majorHAnsi" w:cstheme="majorHAnsi"/>
        </w:rPr>
      </w:pPr>
      <w:r w:rsidRPr="00282525">
        <w:rPr>
          <w:rFonts w:asciiTheme="majorHAnsi" w:hAnsiTheme="majorHAnsi" w:cstheme="majorHAnsi"/>
        </w:rPr>
        <w:t xml:space="preserve">The Tribunal also noted that the Agency in error placed the burden on the victim to prove the alleged perpetrator “acted with intent”.   </w:t>
      </w:r>
    </w:p>
    <w:p w14:paraId="30C2D4FF" w14:textId="3D71FF0C" w:rsidR="00874E7C" w:rsidRPr="00282525" w:rsidRDefault="00874E7C" w:rsidP="00CF3050">
      <w:pPr>
        <w:pStyle w:val="Default"/>
        <w:jc w:val="both"/>
        <w:rPr>
          <w:rFonts w:asciiTheme="majorHAnsi" w:hAnsiTheme="majorHAnsi" w:cstheme="majorHAnsi"/>
        </w:rPr>
      </w:pPr>
    </w:p>
    <w:p w14:paraId="09AFC2B6" w14:textId="1F888DA7" w:rsidR="00874E7C" w:rsidRPr="00282525" w:rsidRDefault="00874E7C" w:rsidP="00874E7C">
      <w:pPr>
        <w:autoSpaceDE w:val="0"/>
        <w:autoSpaceDN w:val="0"/>
        <w:adjustRightInd w:val="0"/>
        <w:spacing w:after="0" w:line="240" w:lineRule="auto"/>
        <w:ind w:left="1134" w:right="1134"/>
        <w:jc w:val="both"/>
        <w:rPr>
          <w:rFonts w:asciiTheme="majorHAnsi" w:hAnsiTheme="majorHAnsi" w:cstheme="majorHAnsi"/>
          <w:color w:val="000000"/>
          <w:sz w:val="24"/>
          <w:szCs w:val="24"/>
          <w:lang w:val="en-GB"/>
        </w:rPr>
      </w:pPr>
      <w:r w:rsidRPr="00282525">
        <w:rPr>
          <w:rFonts w:asciiTheme="majorHAnsi" w:hAnsiTheme="majorHAnsi" w:cstheme="majorHAnsi"/>
          <w:color w:val="000000"/>
          <w:sz w:val="24"/>
          <w:szCs w:val="24"/>
          <w:lang w:val="en-GB"/>
        </w:rPr>
        <w:t>The Agency “</w:t>
      </w:r>
      <w:proofErr w:type="spellStart"/>
      <w:r w:rsidRPr="00282525">
        <w:rPr>
          <w:rFonts w:asciiTheme="majorHAnsi" w:hAnsiTheme="majorHAnsi" w:cstheme="majorHAnsi"/>
          <w:color w:val="000000"/>
          <w:sz w:val="24"/>
          <w:szCs w:val="24"/>
        </w:rPr>
        <w:t>proceeded</w:t>
      </w:r>
      <w:proofErr w:type="spellEnd"/>
      <w:r w:rsidRPr="00282525">
        <w:rPr>
          <w:rFonts w:asciiTheme="majorHAnsi" w:hAnsiTheme="majorHAnsi" w:cstheme="majorHAnsi"/>
          <w:color w:val="000000"/>
          <w:sz w:val="24"/>
          <w:szCs w:val="24"/>
        </w:rPr>
        <w:t xml:space="preserve"> on the </w:t>
      </w:r>
      <w:proofErr w:type="spellStart"/>
      <w:r w:rsidRPr="00282525">
        <w:rPr>
          <w:rFonts w:asciiTheme="majorHAnsi" w:hAnsiTheme="majorHAnsi" w:cstheme="majorHAnsi"/>
          <w:color w:val="000000"/>
          <w:sz w:val="24"/>
          <w:szCs w:val="24"/>
        </w:rPr>
        <w:t>assumption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an </w:t>
      </w:r>
      <w:proofErr w:type="spellStart"/>
      <w:r w:rsidRPr="00282525">
        <w:rPr>
          <w:rFonts w:asciiTheme="majorHAnsi" w:hAnsiTheme="majorHAnsi" w:cstheme="majorHAnsi"/>
          <w:color w:val="000000"/>
          <w:sz w:val="24"/>
          <w:szCs w:val="24"/>
        </w:rPr>
        <w:t>allegation</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by</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aggrieved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staff</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member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must</w:t>
      </w:r>
      <w:proofErr w:type="spellEnd"/>
      <w:r w:rsidRPr="00282525">
        <w:rPr>
          <w:rFonts w:asciiTheme="majorHAnsi" w:hAnsiTheme="majorHAnsi" w:cstheme="majorHAnsi"/>
          <w:color w:val="000000"/>
          <w:sz w:val="24"/>
          <w:szCs w:val="24"/>
        </w:rPr>
        <w:t xml:space="preserve"> not </w:t>
      </w:r>
      <w:proofErr w:type="spellStart"/>
      <w:r w:rsidRPr="00282525">
        <w:rPr>
          <w:rFonts w:asciiTheme="majorHAnsi" w:hAnsiTheme="majorHAnsi" w:cstheme="majorHAnsi"/>
          <w:color w:val="000000"/>
          <w:sz w:val="24"/>
          <w:szCs w:val="24"/>
        </w:rPr>
        <w:t>only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borne</w:t>
      </w:r>
      <w:proofErr w:type="spellEnd"/>
      <w:r w:rsidRPr="00282525">
        <w:rPr>
          <w:rFonts w:asciiTheme="majorHAnsi" w:hAnsiTheme="majorHAnsi" w:cstheme="majorHAnsi"/>
          <w:color w:val="000000"/>
          <w:sz w:val="24"/>
          <w:szCs w:val="24"/>
        </w:rPr>
        <w:t xml:space="preserve"> out </w:t>
      </w:r>
      <w:proofErr w:type="spellStart"/>
      <w:r w:rsidRPr="00282525">
        <w:rPr>
          <w:rFonts w:asciiTheme="majorHAnsi" w:hAnsiTheme="majorHAnsi" w:cstheme="majorHAnsi"/>
          <w:color w:val="000000"/>
          <w:sz w:val="24"/>
          <w:szCs w:val="24"/>
        </w:rPr>
        <w:t>by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specific</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acts</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burden</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proof</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being</w:t>
      </w:r>
      <w:proofErr w:type="spellEnd"/>
      <w:r w:rsidRPr="00282525">
        <w:rPr>
          <w:rFonts w:asciiTheme="majorHAnsi" w:hAnsiTheme="majorHAnsi" w:cstheme="majorHAnsi"/>
          <w:color w:val="000000"/>
          <w:sz w:val="24"/>
          <w:szCs w:val="24"/>
        </w:rPr>
        <w:t xml:space="preserve"> on the </w:t>
      </w:r>
      <w:proofErr w:type="spellStart"/>
      <w:r w:rsidRPr="00282525">
        <w:rPr>
          <w:rFonts w:asciiTheme="majorHAnsi" w:hAnsiTheme="majorHAnsi" w:cstheme="majorHAnsi"/>
          <w:color w:val="000000"/>
          <w:sz w:val="24"/>
          <w:szCs w:val="24"/>
        </w:rPr>
        <w:t>reporter</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but </w:t>
      </w:r>
      <w:proofErr w:type="spellStart"/>
      <w:r w:rsidRPr="00282525">
        <w:rPr>
          <w:rFonts w:asciiTheme="majorHAnsi" w:hAnsiTheme="majorHAnsi" w:cstheme="majorHAnsi"/>
          <w:color w:val="000000"/>
          <w:sz w:val="24"/>
          <w:szCs w:val="24"/>
        </w:rPr>
        <w:t>must</w:t>
      </w:r>
      <w:proofErr w:type="spellEnd"/>
      <w:r w:rsidRPr="00282525">
        <w:rPr>
          <w:rFonts w:asciiTheme="majorHAnsi" w:hAnsiTheme="majorHAnsi" w:cstheme="majorHAnsi"/>
          <w:color w:val="000000"/>
          <w:sz w:val="24"/>
          <w:szCs w:val="24"/>
        </w:rPr>
        <w:t xml:space="preserve"> also </w:t>
      </w:r>
      <w:proofErr w:type="spellStart"/>
      <w:r w:rsidRPr="00282525">
        <w:rPr>
          <w:rFonts w:asciiTheme="majorHAnsi" w:hAnsiTheme="majorHAnsi" w:cstheme="majorHAnsi"/>
          <w:color w:val="000000"/>
          <w:sz w:val="24"/>
          <w:szCs w:val="24"/>
        </w:rPr>
        <w:t>prove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alleged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perpetrator</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acted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with</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intent</w:t>
      </w:r>
      <w:proofErr w:type="spellEnd"/>
      <w:r w:rsidRPr="00282525">
        <w:rPr>
          <w:rFonts w:asciiTheme="majorHAnsi" w:hAnsiTheme="majorHAnsi" w:cstheme="majorHAnsi"/>
          <w:color w:val="000000"/>
          <w:sz w:val="24"/>
          <w:szCs w:val="24"/>
        </w:rPr>
        <w:t xml:space="preserve">. This in turn </w:t>
      </w:r>
      <w:proofErr w:type="spellStart"/>
      <w:r w:rsidRPr="00282525">
        <w:rPr>
          <w:rFonts w:asciiTheme="majorHAnsi" w:hAnsiTheme="majorHAnsi" w:cstheme="majorHAnsi"/>
          <w:color w:val="000000"/>
          <w:sz w:val="24"/>
          <w:szCs w:val="24"/>
        </w:rPr>
        <w:t>resulted</w:t>
      </w:r>
      <w:proofErr w:type="spellEnd"/>
      <w:r w:rsidRPr="00282525">
        <w:rPr>
          <w:rFonts w:asciiTheme="majorHAnsi" w:hAnsiTheme="majorHAnsi" w:cstheme="majorHAnsi"/>
          <w:color w:val="000000"/>
          <w:sz w:val="24"/>
          <w:szCs w:val="24"/>
        </w:rPr>
        <w:t xml:space="preserve"> in the DDG-MT </w:t>
      </w:r>
      <w:proofErr w:type="spellStart"/>
      <w:r w:rsidRPr="00282525">
        <w:rPr>
          <w:rFonts w:asciiTheme="majorHAnsi" w:hAnsiTheme="majorHAnsi" w:cstheme="majorHAnsi"/>
          <w:color w:val="000000"/>
          <w:sz w:val="24"/>
          <w:szCs w:val="24"/>
        </w:rPr>
        <w:t>incorrectly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applying</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beyond</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reasonable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doubt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standard</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proof</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his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consideration</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complainant’s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claim</w:t>
      </w:r>
      <w:proofErr w:type="spellEnd"/>
      <w:r w:rsidRPr="00282525">
        <w:rPr>
          <w:rFonts w:asciiTheme="majorHAnsi" w:hAnsiTheme="majorHAnsi" w:cstheme="majorHAnsi"/>
          <w:color w:val="000000"/>
          <w:sz w:val="24"/>
          <w:szCs w:val="24"/>
        </w:rPr>
        <w:t xml:space="preserve"> of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noted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the Tribunal </w:t>
      </w:r>
      <w:proofErr w:type="spellStart"/>
      <w:r w:rsidRPr="00282525">
        <w:rPr>
          <w:rFonts w:asciiTheme="majorHAnsi" w:hAnsiTheme="majorHAnsi" w:cstheme="majorHAnsi"/>
          <w:color w:val="000000"/>
          <w:sz w:val="24"/>
          <w:szCs w:val="24"/>
        </w:rPr>
        <w:t>has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specifically</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rejected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assumption</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intent</w:t>
      </w:r>
      <w:proofErr w:type="spellEnd"/>
      <w:r w:rsidRPr="00282525">
        <w:rPr>
          <w:rFonts w:asciiTheme="majorHAnsi" w:hAnsiTheme="majorHAnsi" w:cstheme="majorHAnsi"/>
          <w:color w:val="000000"/>
          <w:sz w:val="24"/>
          <w:szCs w:val="24"/>
        </w:rPr>
        <w:t xml:space="preserve"> on the </w:t>
      </w:r>
      <w:proofErr w:type="spellStart"/>
      <w:r w:rsidRPr="00282525">
        <w:rPr>
          <w:rFonts w:asciiTheme="majorHAnsi" w:hAnsiTheme="majorHAnsi" w:cstheme="majorHAnsi"/>
          <w:color w:val="000000"/>
          <w:sz w:val="24"/>
          <w:szCs w:val="24"/>
        </w:rPr>
        <w:t>part</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alleged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perpetrator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required</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order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establish</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see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for</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example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Judgments</w:t>
      </w:r>
      <w:proofErr w:type="spellEnd"/>
      <w:r w:rsidRPr="00282525">
        <w:rPr>
          <w:rFonts w:asciiTheme="majorHAnsi" w:hAnsiTheme="majorHAnsi" w:cstheme="majorHAnsi"/>
          <w:color w:val="000000"/>
          <w:sz w:val="24"/>
          <w:szCs w:val="24"/>
        </w:rPr>
        <w:t xml:space="preserve"> 2524, </w:t>
      </w:r>
      <w:proofErr w:type="spellStart"/>
      <w:r w:rsidRPr="00282525">
        <w:rPr>
          <w:rFonts w:asciiTheme="majorHAnsi" w:hAnsiTheme="majorHAnsi" w:cstheme="majorHAnsi"/>
          <w:color w:val="000000"/>
          <w:sz w:val="24"/>
          <w:szCs w:val="24"/>
        </w:rPr>
        <w:t>consideration</w:t>
      </w:r>
      <w:proofErr w:type="spellEnd"/>
      <w:r w:rsidRPr="00282525">
        <w:rPr>
          <w:rFonts w:asciiTheme="majorHAnsi" w:hAnsiTheme="majorHAnsi" w:cstheme="majorHAnsi"/>
          <w:color w:val="000000"/>
          <w:sz w:val="24"/>
          <w:szCs w:val="24"/>
        </w:rPr>
        <w:t xml:space="preserve"> 25, 3233, </w:t>
      </w:r>
      <w:proofErr w:type="spellStart"/>
      <w:r w:rsidRPr="00282525">
        <w:rPr>
          <w:rFonts w:asciiTheme="majorHAnsi" w:hAnsiTheme="majorHAnsi" w:cstheme="majorHAnsi"/>
          <w:color w:val="000000"/>
          <w:sz w:val="24"/>
          <w:szCs w:val="24"/>
        </w:rPr>
        <w:t>consideration</w:t>
      </w:r>
      <w:proofErr w:type="spellEnd"/>
      <w:r w:rsidRPr="00282525">
        <w:rPr>
          <w:rFonts w:asciiTheme="majorHAnsi" w:hAnsiTheme="majorHAnsi" w:cstheme="majorHAnsi"/>
          <w:color w:val="000000"/>
          <w:sz w:val="24"/>
          <w:szCs w:val="24"/>
        </w:rPr>
        <w:t xml:space="preserve"> 6, and 3692, </w:t>
      </w:r>
      <w:proofErr w:type="spellStart"/>
      <w:r w:rsidRPr="00282525">
        <w:rPr>
          <w:rFonts w:asciiTheme="majorHAnsi" w:hAnsiTheme="majorHAnsi" w:cstheme="majorHAnsi"/>
          <w:color w:val="000000"/>
          <w:sz w:val="24"/>
          <w:szCs w:val="24"/>
        </w:rPr>
        <w:t>consideration</w:t>
      </w:r>
      <w:proofErr w:type="spellEnd"/>
      <w:r w:rsidRPr="00282525">
        <w:rPr>
          <w:rFonts w:asciiTheme="majorHAnsi" w:hAnsiTheme="majorHAnsi" w:cstheme="majorHAnsi"/>
          <w:color w:val="000000"/>
          <w:sz w:val="24"/>
          <w:szCs w:val="24"/>
        </w:rPr>
        <w:t xml:space="preserve"> 18, and the </w:t>
      </w:r>
      <w:proofErr w:type="spellStart"/>
      <w:r w:rsidRPr="00282525">
        <w:rPr>
          <w:rFonts w:asciiTheme="majorHAnsi" w:hAnsiTheme="majorHAnsi" w:cstheme="majorHAnsi"/>
          <w:color w:val="000000"/>
          <w:sz w:val="24"/>
          <w:szCs w:val="24"/>
        </w:rPr>
        <w:t>case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law</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cited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therein</w:t>
      </w:r>
      <w:proofErr w:type="spellEnd"/>
      <w:r w:rsidRPr="00282525">
        <w:rPr>
          <w:rFonts w:asciiTheme="majorHAnsi" w:hAnsiTheme="majorHAnsi" w:cstheme="majorHAnsi"/>
          <w:color w:val="000000"/>
          <w:sz w:val="24"/>
          <w:szCs w:val="24"/>
        </w:rPr>
        <w:t xml:space="preserve">). </w:t>
      </w:r>
      <w:r w:rsidRPr="00282525">
        <w:rPr>
          <w:rFonts w:asciiTheme="majorHAnsi" w:hAnsiTheme="majorHAnsi" w:cstheme="majorHAnsi"/>
          <w:color w:val="000000"/>
          <w:sz w:val="24"/>
          <w:szCs w:val="24"/>
          <w:lang w:val="en-GB"/>
        </w:rPr>
        <w:t>“</w:t>
      </w:r>
    </w:p>
    <w:p w14:paraId="595242FA" w14:textId="77777777" w:rsidR="00874E7C" w:rsidRPr="00282525" w:rsidRDefault="00874E7C" w:rsidP="00CF3050">
      <w:pPr>
        <w:pStyle w:val="Default"/>
        <w:jc w:val="both"/>
        <w:rPr>
          <w:rFonts w:asciiTheme="majorHAnsi" w:hAnsiTheme="majorHAnsi" w:cstheme="majorHAnsi"/>
        </w:rPr>
      </w:pPr>
    </w:p>
    <w:p w14:paraId="6AB80F23" w14:textId="686A4E13" w:rsidR="00786435" w:rsidRPr="00282525" w:rsidRDefault="00874E7C" w:rsidP="00786435">
      <w:pPr>
        <w:pStyle w:val="Default"/>
        <w:jc w:val="both"/>
        <w:rPr>
          <w:rFonts w:asciiTheme="majorHAnsi" w:hAnsiTheme="majorHAnsi" w:cstheme="majorHAnsi"/>
        </w:rPr>
      </w:pPr>
      <w:r w:rsidRPr="00282525">
        <w:rPr>
          <w:rStyle w:val="Emphasis"/>
          <w:rFonts w:asciiTheme="majorHAnsi" w:hAnsiTheme="majorHAnsi" w:cstheme="majorHAnsi"/>
          <w:i w:val="0"/>
        </w:rPr>
        <w:t xml:space="preserve">Finally, </w:t>
      </w:r>
      <w:r w:rsidR="00786435" w:rsidRPr="00282525">
        <w:rPr>
          <w:rStyle w:val="Emphasis"/>
          <w:rFonts w:asciiTheme="majorHAnsi" w:hAnsiTheme="majorHAnsi" w:cstheme="majorHAnsi"/>
          <w:i w:val="0"/>
        </w:rPr>
        <w:t>because of the passage of time, and since there was “</w:t>
      </w:r>
      <w:r w:rsidR="00786435" w:rsidRPr="00282525">
        <w:rPr>
          <w:rFonts w:asciiTheme="majorHAnsi" w:hAnsiTheme="majorHAnsi" w:cstheme="majorHAnsi"/>
        </w:rPr>
        <w:t>sufficient evidence and information in the pleadings for the Tribunal to make an informed decision”, the Tribunal declined to return the case back to the Agency.  The Tribunal then found that the sexual harassment was substantiated, citing the following factors with reference to the OIOS report:</w:t>
      </w:r>
    </w:p>
    <w:p w14:paraId="45A7E2FC" w14:textId="54BBB4B0" w:rsidR="00786435" w:rsidRPr="00282525" w:rsidRDefault="00786435" w:rsidP="00786435">
      <w:pPr>
        <w:pStyle w:val="Default"/>
        <w:jc w:val="both"/>
        <w:rPr>
          <w:rFonts w:asciiTheme="majorHAnsi" w:hAnsiTheme="majorHAnsi" w:cstheme="majorHAnsi"/>
        </w:rPr>
      </w:pPr>
    </w:p>
    <w:p w14:paraId="43BA071A" w14:textId="43BBEACE" w:rsidR="00786435" w:rsidRPr="00282525" w:rsidRDefault="00786435" w:rsidP="00786435">
      <w:pPr>
        <w:autoSpaceDE w:val="0"/>
        <w:autoSpaceDN w:val="0"/>
        <w:adjustRightInd w:val="0"/>
        <w:spacing w:after="0" w:line="240" w:lineRule="auto"/>
        <w:ind w:left="1134" w:right="1134"/>
        <w:jc w:val="both"/>
        <w:rPr>
          <w:rFonts w:asciiTheme="majorHAnsi" w:hAnsiTheme="majorHAnsi" w:cstheme="majorHAnsi"/>
          <w:color w:val="000000"/>
          <w:sz w:val="24"/>
          <w:szCs w:val="24"/>
        </w:rPr>
      </w:pPr>
      <w:r w:rsidRPr="00282525">
        <w:rPr>
          <w:rFonts w:asciiTheme="majorHAnsi" w:hAnsiTheme="majorHAnsi" w:cstheme="majorHAnsi"/>
          <w:color w:val="000000"/>
          <w:sz w:val="24"/>
          <w:szCs w:val="24"/>
          <w:lang w:val="en-GB"/>
        </w:rPr>
        <w:t>“</w:t>
      </w:r>
      <w:proofErr w:type="spellStart"/>
      <w:r w:rsidRPr="00282525">
        <w:rPr>
          <w:rFonts w:asciiTheme="majorHAnsi" w:hAnsiTheme="majorHAnsi" w:cstheme="majorHAnsi"/>
          <w:color w:val="000000"/>
          <w:sz w:val="24"/>
          <w:szCs w:val="24"/>
        </w:rPr>
        <w:t>OIOS’s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conclusion</w:t>
      </w:r>
      <w:proofErr w:type="spellEnd"/>
      <w:r w:rsidRPr="00282525">
        <w:rPr>
          <w:rFonts w:asciiTheme="majorHAnsi" w:hAnsiTheme="majorHAnsi" w:cstheme="majorHAnsi"/>
          <w:color w:val="000000"/>
          <w:sz w:val="24"/>
          <w:szCs w:val="24"/>
        </w:rPr>
        <w:t xml:space="preserve"> </w:t>
      </w:r>
      <w:proofErr w:type="spellStart"/>
      <w:proofErr w:type="gram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w:t>
      </w:r>
      <w:r w:rsidRPr="00282525">
        <w:rPr>
          <w:rFonts w:asciiTheme="majorHAnsi" w:hAnsiTheme="majorHAnsi" w:cstheme="majorHAnsi"/>
          <w:color w:val="000000"/>
          <w:sz w:val="24"/>
          <w:szCs w:val="24"/>
          <w:lang w:val="en-GB"/>
        </w:rPr>
        <w:t xml:space="preserve"> . . .</w:t>
      </w:r>
      <w:proofErr w:type="gramEnd"/>
      <w:r w:rsidRPr="00282525">
        <w:rPr>
          <w:rFonts w:asciiTheme="majorHAnsi" w:hAnsiTheme="majorHAnsi" w:cstheme="majorHAnsi"/>
          <w:color w:val="000000"/>
          <w:sz w:val="24"/>
          <w:szCs w:val="24"/>
          <w:lang w:val="en-GB"/>
        </w:rPr>
        <w:t xml:space="preserve"> </w:t>
      </w:r>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complainant’s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complaint</w:t>
      </w:r>
      <w:proofErr w:type="spellEnd"/>
      <w:r w:rsidRPr="00282525">
        <w:rPr>
          <w:rFonts w:asciiTheme="majorHAnsi" w:hAnsiTheme="majorHAnsi" w:cstheme="majorHAnsi"/>
          <w:color w:val="000000"/>
          <w:sz w:val="24"/>
          <w:szCs w:val="24"/>
        </w:rPr>
        <w:t xml:space="preserve"> of sexual </w:t>
      </w:r>
      <w:proofErr w:type="spellStart"/>
      <w:r w:rsidRPr="00282525">
        <w:rPr>
          <w:rFonts w:asciiTheme="majorHAnsi" w:hAnsiTheme="majorHAnsi" w:cstheme="majorHAnsi"/>
          <w:color w:val="000000"/>
          <w:sz w:val="24"/>
          <w:szCs w:val="24"/>
        </w:rPr>
        <w:t>harassment</w:t>
      </w:r>
      <w:proofErr w:type="spellEnd"/>
      <w:r w:rsidRPr="00282525">
        <w:rPr>
          <w:rFonts w:asciiTheme="majorHAnsi" w:hAnsiTheme="majorHAnsi" w:cstheme="majorHAnsi"/>
          <w:color w:val="000000"/>
          <w:sz w:val="24"/>
          <w:szCs w:val="24"/>
        </w:rPr>
        <w:t xml:space="preserve"> was </w:t>
      </w:r>
      <w:proofErr w:type="spellStart"/>
      <w:r w:rsidRPr="00282525">
        <w:rPr>
          <w:rFonts w:asciiTheme="majorHAnsi" w:hAnsiTheme="majorHAnsi" w:cstheme="majorHAnsi"/>
          <w:color w:val="000000"/>
          <w:sz w:val="24"/>
          <w:szCs w:val="24"/>
        </w:rPr>
        <w:t>credible</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made</w:t>
      </w:r>
      <w:proofErr w:type="spellEnd"/>
      <w:r w:rsidRPr="00282525">
        <w:rPr>
          <w:rFonts w:asciiTheme="majorHAnsi" w:hAnsiTheme="majorHAnsi" w:cstheme="majorHAnsi"/>
          <w:color w:val="000000"/>
          <w:sz w:val="24"/>
          <w:szCs w:val="24"/>
        </w:rPr>
        <w:t xml:space="preserve"> in </w:t>
      </w:r>
      <w:proofErr w:type="spellStart"/>
      <w:r w:rsidRPr="00282525">
        <w:rPr>
          <w:rFonts w:asciiTheme="majorHAnsi" w:hAnsiTheme="majorHAnsi" w:cstheme="majorHAnsi"/>
          <w:color w:val="000000"/>
          <w:sz w:val="24"/>
          <w:szCs w:val="24"/>
        </w:rPr>
        <w:t>good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faith</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no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finding</w:t>
      </w:r>
      <w:proofErr w:type="spellEnd"/>
      <w:r w:rsidRPr="00282525">
        <w:rPr>
          <w:rFonts w:asciiTheme="majorHAnsi" w:hAnsiTheme="majorHAnsi" w:cstheme="majorHAnsi"/>
          <w:color w:val="000000"/>
          <w:sz w:val="24"/>
          <w:szCs w:val="24"/>
        </w:rPr>
        <w:t xml:space="preserve"> was </w:t>
      </w:r>
      <w:proofErr w:type="spellStart"/>
      <w:r w:rsidRPr="00282525">
        <w:rPr>
          <w:rFonts w:asciiTheme="majorHAnsi" w:hAnsiTheme="majorHAnsi" w:cstheme="majorHAnsi"/>
          <w:color w:val="000000"/>
          <w:sz w:val="24"/>
          <w:szCs w:val="24"/>
        </w:rPr>
        <w:t>made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regarding</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credibility</w:t>
      </w:r>
      <w:proofErr w:type="spellEnd"/>
      <w:r w:rsidRPr="00282525">
        <w:rPr>
          <w:rFonts w:asciiTheme="majorHAnsi" w:hAnsiTheme="majorHAnsi" w:cstheme="majorHAnsi"/>
          <w:color w:val="000000"/>
          <w:sz w:val="24"/>
          <w:szCs w:val="24"/>
        </w:rPr>
        <w:t xml:space="preserve"> of Mr </w:t>
      </w:r>
      <w:proofErr w:type="spellStart"/>
      <w:r w:rsidRPr="00282525">
        <w:rPr>
          <w:rFonts w:asciiTheme="majorHAnsi" w:hAnsiTheme="majorHAnsi" w:cstheme="majorHAnsi"/>
          <w:color w:val="000000"/>
          <w:sz w:val="24"/>
          <w:szCs w:val="24"/>
        </w:rPr>
        <w:t>A.’s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denials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a </w:t>
      </w:r>
      <w:proofErr w:type="spellStart"/>
      <w:r w:rsidRPr="00282525">
        <w:rPr>
          <w:rFonts w:asciiTheme="majorHAnsi" w:hAnsiTheme="majorHAnsi" w:cstheme="majorHAnsi"/>
          <w:color w:val="000000"/>
          <w:sz w:val="24"/>
          <w:szCs w:val="24"/>
        </w:rPr>
        <w:t>decision</w:t>
      </w:r>
      <w:proofErr w:type="spellEnd"/>
      <w:r w:rsidRPr="00282525">
        <w:rPr>
          <w:rFonts w:asciiTheme="majorHAnsi" w:hAnsiTheme="majorHAnsi" w:cstheme="majorHAnsi"/>
          <w:color w:val="000000"/>
          <w:sz w:val="24"/>
          <w:szCs w:val="24"/>
        </w:rPr>
        <w:t xml:space="preserve"> was </w:t>
      </w:r>
      <w:proofErr w:type="spellStart"/>
      <w:r w:rsidRPr="00282525">
        <w:rPr>
          <w:rFonts w:asciiTheme="majorHAnsi" w:hAnsiTheme="majorHAnsi" w:cstheme="majorHAnsi"/>
          <w:color w:val="000000"/>
          <w:sz w:val="24"/>
          <w:szCs w:val="24"/>
        </w:rPr>
        <w:t>made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Mr A. </w:t>
      </w:r>
      <w:proofErr w:type="spellStart"/>
      <w:r w:rsidRPr="00282525">
        <w:rPr>
          <w:rFonts w:asciiTheme="majorHAnsi" w:hAnsiTheme="majorHAnsi" w:cstheme="majorHAnsi"/>
          <w:color w:val="000000"/>
          <w:sz w:val="24"/>
          <w:szCs w:val="24"/>
        </w:rPr>
        <w:t>would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be</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warned</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about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his</w:t>
      </w:r>
      <w:proofErr w:type="spellEnd"/>
      <w:r w:rsidRPr="00282525">
        <w:rPr>
          <w:rFonts w:asciiTheme="majorHAnsi" w:hAnsiTheme="majorHAnsi" w:cstheme="majorHAnsi"/>
          <w:color w:val="000000"/>
          <w:sz w:val="24"/>
          <w:szCs w:val="24"/>
        </w:rPr>
        <w:t xml:space="preserve"> </w:t>
      </w:r>
      <w:r w:rsidRPr="00282525">
        <w:rPr>
          <w:rFonts w:asciiTheme="majorHAnsi" w:hAnsiTheme="majorHAnsi" w:cstheme="majorHAnsi"/>
          <w:color w:val="000000"/>
          <w:sz w:val="24"/>
          <w:szCs w:val="24"/>
          <w:lang w:val="en-GB"/>
        </w:rPr>
        <w:t>‘</w:t>
      </w:r>
      <w:proofErr w:type="spellStart"/>
      <w:r w:rsidRPr="00282525">
        <w:rPr>
          <w:rFonts w:asciiTheme="majorHAnsi" w:hAnsiTheme="majorHAnsi" w:cstheme="majorHAnsi"/>
          <w:color w:val="000000"/>
          <w:sz w:val="24"/>
          <w:szCs w:val="24"/>
        </w:rPr>
        <w:t>behaviour</w:t>
      </w:r>
      <w:proofErr w:type="spellEnd"/>
      <w:r w:rsidRPr="00282525">
        <w:rPr>
          <w:rFonts w:asciiTheme="majorHAnsi" w:hAnsiTheme="majorHAnsi" w:cstheme="majorHAnsi"/>
          <w:color w:val="000000"/>
          <w:sz w:val="24"/>
          <w:szCs w:val="24"/>
          <w:lang w:val="en-GB"/>
        </w:rPr>
        <w:t>’</w:t>
      </w:r>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notwithstanding</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fact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that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there</w:t>
      </w:r>
      <w:proofErr w:type="spellEnd"/>
      <w:r w:rsidRPr="00282525">
        <w:rPr>
          <w:rFonts w:asciiTheme="majorHAnsi" w:hAnsiTheme="majorHAnsi" w:cstheme="majorHAnsi"/>
          <w:color w:val="000000"/>
          <w:sz w:val="24"/>
          <w:szCs w:val="24"/>
        </w:rPr>
        <w:t xml:space="preserve"> was </w:t>
      </w:r>
      <w:proofErr w:type="spellStart"/>
      <w:r w:rsidRPr="00282525">
        <w:rPr>
          <w:rFonts w:asciiTheme="majorHAnsi" w:hAnsiTheme="majorHAnsi" w:cstheme="majorHAnsi"/>
          <w:color w:val="000000"/>
          <w:sz w:val="24"/>
          <w:szCs w:val="24"/>
        </w:rPr>
        <w:t>no</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independent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witness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present</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during</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incidents</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which</w:t>
      </w:r>
      <w:proofErr w:type="spellEnd"/>
      <w:r w:rsidRPr="00282525">
        <w:rPr>
          <w:rFonts w:asciiTheme="majorHAnsi" w:hAnsiTheme="majorHAnsi" w:cstheme="majorHAnsi"/>
          <w:color w:val="000000"/>
          <w:sz w:val="24"/>
          <w:szCs w:val="24"/>
        </w:rPr>
        <w:t xml:space="preserve"> </w:t>
      </w:r>
      <w:proofErr w:type="spellStart"/>
      <w:r w:rsidRPr="00282525">
        <w:rPr>
          <w:rFonts w:asciiTheme="majorHAnsi" w:hAnsiTheme="majorHAnsi" w:cstheme="majorHAnsi"/>
          <w:color w:val="000000"/>
          <w:sz w:val="24"/>
          <w:szCs w:val="24"/>
        </w:rPr>
        <w:t>is</w:t>
      </w:r>
      <w:proofErr w:type="spellEnd"/>
      <w:r w:rsidRPr="00282525">
        <w:rPr>
          <w:rFonts w:asciiTheme="majorHAnsi" w:hAnsiTheme="majorHAnsi" w:cstheme="majorHAnsi"/>
          <w:color w:val="000000"/>
          <w:sz w:val="24"/>
          <w:szCs w:val="24"/>
        </w:rPr>
        <w:t xml:space="preserve"> not </w:t>
      </w:r>
      <w:proofErr w:type="spellStart"/>
      <w:r w:rsidRPr="00282525">
        <w:rPr>
          <w:rFonts w:asciiTheme="majorHAnsi" w:hAnsiTheme="majorHAnsi" w:cstheme="majorHAnsi"/>
          <w:color w:val="000000"/>
          <w:sz w:val="24"/>
          <w:szCs w:val="24"/>
        </w:rPr>
        <w:t>uncommon</w:t>
      </w:r>
      <w:proofErr w:type="spellEnd"/>
      <w:r w:rsidRPr="00282525">
        <w:rPr>
          <w:rFonts w:asciiTheme="majorHAnsi" w:hAnsiTheme="majorHAnsi" w:cstheme="majorHAnsi"/>
          <w:color w:val="000000"/>
          <w:sz w:val="24"/>
          <w:szCs w:val="24"/>
        </w:rPr>
        <w:t xml:space="preserve"> and </w:t>
      </w:r>
      <w:proofErr w:type="spellStart"/>
      <w:r w:rsidRPr="00282525">
        <w:rPr>
          <w:rFonts w:asciiTheme="majorHAnsi" w:hAnsiTheme="majorHAnsi" w:cstheme="majorHAnsi"/>
          <w:color w:val="000000"/>
          <w:sz w:val="24"/>
          <w:szCs w:val="24"/>
        </w:rPr>
        <w:t>does</w:t>
      </w:r>
      <w:proofErr w:type="spellEnd"/>
      <w:r w:rsidRPr="00282525">
        <w:rPr>
          <w:rFonts w:asciiTheme="majorHAnsi" w:hAnsiTheme="majorHAnsi" w:cstheme="majorHAnsi"/>
          <w:color w:val="000000"/>
          <w:sz w:val="24"/>
          <w:szCs w:val="24"/>
        </w:rPr>
        <w:t xml:space="preserve"> not </w:t>
      </w:r>
      <w:proofErr w:type="spellStart"/>
      <w:r w:rsidRPr="00282525">
        <w:rPr>
          <w:rFonts w:asciiTheme="majorHAnsi" w:hAnsiTheme="majorHAnsi" w:cstheme="majorHAnsi"/>
          <w:color w:val="000000"/>
          <w:sz w:val="24"/>
          <w:szCs w:val="24"/>
        </w:rPr>
        <w:t>undermine</w:t>
      </w:r>
      <w:proofErr w:type="spellEnd"/>
      <w:r w:rsidRPr="00282525">
        <w:rPr>
          <w:rFonts w:asciiTheme="majorHAnsi" w:hAnsiTheme="majorHAnsi" w:cstheme="majorHAnsi"/>
          <w:color w:val="000000"/>
          <w:sz w:val="24"/>
          <w:szCs w:val="24"/>
        </w:rPr>
        <w:t xml:space="preserve"> the </w:t>
      </w:r>
      <w:proofErr w:type="spellStart"/>
      <w:r w:rsidRPr="00282525">
        <w:rPr>
          <w:rFonts w:asciiTheme="majorHAnsi" w:hAnsiTheme="majorHAnsi" w:cstheme="majorHAnsi"/>
          <w:color w:val="000000"/>
          <w:sz w:val="24"/>
          <w:szCs w:val="24"/>
        </w:rPr>
        <w:t>credibility</w:t>
      </w:r>
      <w:proofErr w:type="spellEnd"/>
      <w:r w:rsidRPr="00282525">
        <w:rPr>
          <w:rFonts w:asciiTheme="majorHAnsi" w:hAnsiTheme="majorHAnsi" w:cstheme="majorHAnsi"/>
          <w:color w:val="000000"/>
          <w:sz w:val="24"/>
          <w:szCs w:val="24"/>
        </w:rPr>
        <w:t xml:space="preserve"> of the </w:t>
      </w:r>
      <w:proofErr w:type="spellStart"/>
      <w:r w:rsidRPr="00282525">
        <w:rPr>
          <w:rFonts w:asciiTheme="majorHAnsi" w:hAnsiTheme="majorHAnsi" w:cstheme="majorHAnsi"/>
          <w:color w:val="000000"/>
          <w:sz w:val="24"/>
          <w:szCs w:val="24"/>
        </w:rPr>
        <w:t>complaint</w:t>
      </w:r>
      <w:proofErr w:type="spellEnd"/>
      <w:r w:rsidRPr="00282525">
        <w:rPr>
          <w:rFonts w:asciiTheme="majorHAnsi" w:hAnsiTheme="majorHAnsi" w:cstheme="majorHAnsi"/>
          <w:color w:val="000000"/>
          <w:sz w:val="24"/>
          <w:szCs w:val="24"/>
          <w:lang w:val="en-GB"/>
        </w:rPr>
        <w:t>”.</w:t>
      </w:r>
    </w:p>
    <w:p w14:paraId="400FA74B" w14:textId="77777777" w:rsidR="00786435" w:rsidRPr="00282525" w:rsidRDefault="00786435" w:rsidP="00786435">
      <w:pPr>
        <w:pStyle w:val="Default"/>
        <w:jc w:val="both"/>
        <w:rPr>
          <w:rFonts w:asciiTheme="majorHAnsi" w:hAnsiTheme="majorHAnsi" w:cstheme="majorHAnsi"/>
        </w:rPr>
      </w:pPr>
    </w:p>
    <w:p w14:paraId="2815D060" w14:textId="5D798866" w:rsidR="0052343B" w:rsidRPr="00282525" w:rsidRDefault="00786435" w:rsidP="00A64FAC">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The Tribunal awarded 25,000 EUR in moral damages.</w:t>
      </w:r>
      <w:r w:rsidR="001074D8" w:rsidRPr="00282525">
        <w:rPr>
          <w:rStyle w:val="Emphasis"/>
          <w:rFonts w:asciiTheme="majorHAnsi" w:hAnsiTheme="majorHAnsi" w:cstheme="majorHAnsi"/>
          <w:i w:val="0"/>
        </w:rPr>
        <w:t xml:space="preserve">  While some may find this amount paltry, the Tribunal was sitting </w:t>
      </w:r>
      <w:proofErr w:type="spellStart"/>
      <w:r w:rsidR="001074D8" w:rsidRPr="00282525">
        <w:rPr>
          <w:rStyle w:val="Emphasis"/>
          <w:rFonts w:asciiTheme="majorHAnsi" w:hAnsiTheme="majorHAnsi" w:cstheme="majorHAnsi"/>
          <w:iCs w:val="0"/>
        </w:rPr>
        <w:t>en</w:t>
      </w:r>
      <w:proofErr w:type="spellEnd"/>
      <w:r w:rsidR="001074D8" w:rsidRPr="00282525">
        <w:rPr>
          <w:rStyle w:val="Emphasis"/>
          <w:rFonts w:asciiTheme="majorHAnsi" w:hAnsiTheme="majorHAnsi" w:cstheme="majorHAnsi"/>
          <w:iCs w:val="0"/>
        </w:rPr>
        <w:t xml:space="preserve"> banc</w:t>
      </w:r>
      <w:r w:rsidR="001074D8" w:rsidRPr="00282525">
        <w:rPr>
          <w:rStyle w:val="Emphasis"/>
          <w:rFonts w:asciiTheme="majorHAnsi" w:hAnsiTheme="majorHAnsi" w:cstheme="majorHAnsi"/>
          <w:i w:val="0"/>
        </w:rPr>
        <w:t xml:space="preserve"> and </w:t>
      </w:r>
      <w:r w:rsidR="00442F0A" w:rsidRPr="00282525">
        <w:rPr>
          <w:rStyle w:val="Emphasis"/>
          <w:rFonts w:asciiTheme="majorHAnsi" w:hAnsiTheme="majorHAnsi" w:cstheme="majorHAnsi"/>
          <w:i w:val="0"/>
        </w:rPr>
        <w:t xml:space="preserve">the award </w:t>
      </w:r>
      <w:r w:rsidR="004E2AA3">
        <w:rPr>
          <w:rStyle w:val="Emphasis"/>
          <w:rFonts w:asciiTheme="majorHAnsi" w:hAnsiTheme="majorHAnsi" w:cstheme="majorHAnsi"/>
          <w:i w:val="0"/>
        </w:rPr>
        <w:t xml:space="preserve">no doubt </w:t>
      </w:r>
      <w:r w:rsidR="00442F0A" w:rsidRPr="00282525">
        <w:rPr>
          <w:rStyle w:val="Emphasis"/>
          <w:rFonts w:asciiTheme="majorHAnsi" w:hAnsiTheme="majorHAnsi" w:cstheme="majorHAnsi"/>
          <w:i w:val="0"/>
        </w:rPr>
        <w:t xml:space="preserve">reflects the efforts of the </w:t>
      </w:r>
      <w:r w:rsidR="004829A6">
        <w:rPr>
          <w:rStyle w:val="Emphasis"/>
          <w:rFonts w:asciiTheme="majorHAnsi" w:hAnsiTheme="majorHAnsi" w:cstheme="majorHAnsi"/>
          <w:i w:val="0"/>
        </w:rPr>
        <w:t xml:space="preserve">seven (7) </w:t>
      </w:r>
      <w:r w:rsidR="00442F0A" w:rsidRPr="00282525">
        <w:rPr>
          <w:rStyle w:val="Emphasis"/>
          <w:rFonts w:asciiTheme="majorHAnsi" w:hAnsiTheme="majorHAnsi" w:cstheme="majorHAnsi"/>
          <w:i w:val="0"/>
        </w:rPr>
        <w:t xml:space="preserve">Tribunal </w:t>
      </w:r>
      <w:r w:rsidR="004E2AA3">
        <w:rPr>
          <w:rStyle w:val="Emphasis"/>
          <w:rFonts w:asciiTheme="majorHAnsi" w:hAnsiTheme="majorHAnsi" w:cstheme="majorHAnsi"/>
          <w:i w:val="0"/>
        </w:rPr>
        <w:t xml:space="preserve">Judges </w:t>
      </w:r>
      <w:r w:rsidR="001074D8" w:rsidRPr="00282525">
        <w:rPr>
          <w:rStyle w:val="Emphasis"/>
          <w:rFonts w:asciiTheme="majorHAnsi" w:hAnsiTheme="majorHAnsi" w:cstheme="majorHAnsi"/>
          <w:i w:val="0"/>
        </w:rPr>
        <w:t xml:space="preserve">to resolve </w:t>
      </w:r>
      <w:r w:rsidR="00442F0A" w:rsidRPr="00282525">
        <w:rPr>
          <w:rStyle w:val="Emphasis"/>
          <w:rFonts w:asciiTheme="majorHAnsi" w:hAnsiTheme="majorHAnsi" w:cstheme="majorHAnsi"/>
          <w:i w:val="0"/>
        </w:rPr>
        <w:t xml:space="preserve">and compromise </w:t>
      </w:r>
      <w:r w:rsidR="004E2AA3">
        <w:rPr>
          <w:rStyle w:val="Emphasis"/>
          <w:rFonts w:asciiTheme="majorHAnsi" w:hAnsiTheme="majorHAnsi" w:cstheme="majorHAnsi"/>
          <w:i w:val="0"/>
        </w:rPr>
        <w:t>their</w:t>
      </w:r>
      <w:r w:rsidR="00442F0A" w:rsidRPr="00282525">
        <w:rPr>
          <w:rStyle w:val="Emphasis"/>
          <w:rFonts w:asciiTheme="majorHAnsi" w:hAnsiTheme="majorHAnsi" w:cstheme="majorHAnsi"/>
          <w:i w:val="0"/>
        </w:rPr>
        <w:t xml:space="preserve"> </w:t>
      </w:r>
      <w:r w:rsidR="001074D8" w:rsidRPr="00282525">
        <w:rPr>
          <w:rStyle w:val="Emphasis"/>
          <w:rFonts w:asciiTheme="majorHAnsi" w:hAnsiTheme="majorHAnsi" w:cstheme="majorHAnsi"/>
          <w:i w:val="0"/>
        </w:rPr>
        <w:t>different perspectives on the case.</w:t>
      </w:r>
    </w:p>
    <w:p w14:paraId="6EAC5E6A" w14:textId="1733FD1B" w:rsidR="00786435" w:rsidRPr="00282525" w:rsidRDefault="00786435" w:rsidP="00A64FAC">
      <w:pPr>
        <w:pStyle w:val="Default"/>
        <w:jc w:val="both"/>
        <w:rPr>
          <w:rFonts w:asciiTheme="majorHAnsi" w:hAnsiTheme="majorHAnsi" w:cstheme="majorHAnsi"/>
        </w:rPr>
      </w:pPr>
    </w:p>
    <w:p w14:paraId="756EA05B" w14:textId="77777777" w:rsidR="00282525" w:rsidRPr="00282525" w:rsidRDefault="00282525" w:rsidP="00A64FAC">
      <w:pPr>
        <w:pStyle w:val="Default"/>
        <w:jc w:val="both"/>
        <w:rPr>
          <w:rFonts w:asciiTheme="majorHAnsi" w:hAnsiTheme="majorHAnsi" w:cstheme="majorHAnsi"/>
          <w:b/>
          <w:bCs/>
        </w:rPr>
      </w:pPr>
      <w:r w:rsidRPr="00282525">
        <w:rPr>
          <w:rFonts w:asciiTheme="majorHAnsi" w:hAnsiTheme="majorHAnsi" w:cstheme="majorHAnsi"/>
          <w:b/>
          <w:bCs/>
        </w:rPr>
        <w:t>Comment</w:t>
      </w:r>
    </w:p>
    <w:p w14:paraId="47141E65" w14:textId="77777777" w:rsidR="00282525" w:rsidRPr="00282525" w:rsidRDefault="00282525" w:rsidP="00A64FAC">
      <w:pPr>
        <w:pStyle w:val="Default"/>
        <w:jc w:val="both"/>
        <w:rPr>
          <w:rFonts w:asciiTheme="majorHAnsi" w:hAnsiTheme="majorHAnsi" w:cstheme="majorHAnsi"/>
          <w:b/>
          <w:bCs/>
        </w:rPr>
      </w:pPr>
    </w:p>
    <w:p w14:paraId="3F1545C5" w14:textId="2E190BBE" w:rsidR="001730EB" w:rsidRPr="00282525" w:rsidRDefault="00282525" w:rsidP="00A64FAC">
      <w:pPr>
        <w:pStyle w:val="Default"/>
        <w:jc w:val="both"/>
        <w:rPr>
          <w:rFonts w:asciiTheme="majorHAnsi" w:hAnsiTheme="majorHAnsi" w:cstheme="majorHAnsi"/>
        </w:rPr>
      </w:pPr>
      <w:r w:rsidRPr="00282525">
        <w:rPr>
          <w:rFonts w:asciiTheme="majorHAnsi" w:hAnsiTheme="majorHAnsi" w:cstheme="majorHAnsi"/>
        </w:rPr>
        <w:t>F</w:t>
      </w:r>
      <w:r w:rsidR="004829A6">
        <w:rPr>
          <w:rFonts w:asciiTheme="majorHAnsi" w:hAnsiTheme="majorHAnsi" w:cstheme="majorHAnsi"/>
        </w:rPr>
        <w:t xml:space="preserve">or cases of </w:t>
      </w:r>
      <w:r w:rsidR="001730EB" w:rsidRPr="00282525">
        <w:rPr>
          <w:rFonts w:asciiTheme="majorHAnsi" w:hAnsiTheme="majorHAnsi" w:cstheme="majorHAnsi"/>
        </w:rPr>
        <w:t>he said/</w:t>
      </w:r>
      <w:r w:rsidR="004829A6">
        <w:rPr>
          <w:rFonts w:asciiTheme="majorHAnsi" w:hAnsiTheme="majorHAnsi" w:cstheme="majorHAnsi"/>
        </w:rPr>
        <w:t>s</w:t>
      </w:r>
      <w:r w:rsidR="001730EB" w:rsidRPr="00282525">
        <w:rPr>
          <w:rFonts w:asciiTheme="majorHAnsi" w:hAnsiTheme="majorHAnsi" w:cstheme="majorHAnsi"/>
        </w:rPr>
        <w:t>he said sexual harassment, in order to increase the likelihood of prevailing in a judicial forum, the victim should, in addition to complying with any applicable written procedures:</w:t>
      </w:r>
    </w:p>
    <w:p w14:paraId="7BAC2706" w14:textId="77777777" w:rsidR="001730EB" w:rsidRPr="00282525" w:rsidRDefault="001730EB" w:rsidP="00A64FAC">
      <w:pPr>
        <w:pStyle w:val="Default"/>
        <w:jc w:val="both"/>
        <w:rPr>
          <w:rFonts w:asciiTheme="majorHAnsi" w:hAnsiTheme="majorHAnsi" w:cstheme="majorHAnsi"/>
        </w:rPr>
      </w:pPr>
    </w:p>
    <w:p w14:paraId="44607DF4" w14:textId="77777777" w:rsidR="001730EB"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Timely report the offending conduct;</w:t>
      </w:r>
    </w:p>
    <w:p w14:paraId="50197704" w14:textId="31142989" w:rsidR="001730EB"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lastRenderedPageBreak/>
        <w:t xml:space="preserve">Be consistent in the details of the report to colleagues, </w:t>
      </w:r>
      <w:r w:rsidR="004829A6">
        <w:rPr>
          <w:rFonts w:asciiTheme="majorHAnsi" w:hAnsiTheme="majorHAnsi" w:cstheme="majorHAnsi"/>
        </w:rPr>
        <w:t xml:space="preserve">to any staff counsellor, ombudsperson, </w:t>
      </w:r>
      <w:r w:rsidRPr="00282525">
        <w:rPr>
          <w:rFonts w:asciiTheme="majorHAnsi" w:hAnsiTheme="majorHAnsi" w:cstheme="majorHAnsi"/>
        </w:rPr>
        <w:t>and to the investigator;</w:t>
      </w:r>
    </w:p>
    <w:p w14:paraId="3454B071" w14:textId="6671354F" w:rsidR="001730EB"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 xml:space="preserve">Reject any contention by the organization that the lack of witnesses undermines the credibility of the </w:t>
      </w:r>
      <w:r w:rsidR="00282525" w:rsidRPr="00282525">
        <w:rPr>
          <w:rFonts w:asciiTheme="majorHAnsi" w:hAnsiTheme="majorHAnsi" w:cstheme="majorHAnsi"/>
        </w:rPr>
        <w:t>victim</w:t>
      </w:r>
      <w:r w:rsidRPr="00282525">
        <w:rPr>
          <w:rFonts w:asciiTheme="majorHAnsi" w:hAnsiTheme="majorHAnsi" w:cstheme="majorHAnsi"/>
        </w:rPr>
        <w:t>;</w:t>
      </w:r>
    </w:p>
    <w:p w14:paraId="4377C215" w14:textId="5C375846" w:rsidR="001730EB"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 xml:space="preserve">Remind the organization that there is no requirement to prove the harassment beyond a reasonable doubt or to show the </w:t>
      </w:r>
      <w:r w:rsidR="00442F0A" w:rsidRPr="00282525">
        <w:rPr>
          <w:rFonts w:asciiTheme="majorHAnsi" w:hAnsiTheme="majorHAnsi" w:cstheme="majorHAnsi"/>
        </w:rPr>
        <w:t>offending conduct</w:t>
      </w:r>
      <w:r w:rsidRPr="00282525">
        <w:rPr>
          <w:rFonts w:asciiTheme="majorHAnsi" w:hAnsiTheme="majorHAnsi" w:cstheme="majorHAnsi"/>
        </w:rPr>
        <w:t xml:space="preserve"> was intentional</w:t>
      </w:r>
      <w:r w:rsidR="00D93B60" w:rsidRPr="00282525">
        <w:rPr>
          <w:rFonts w:asciiTheme="majorHAnsi" w:hAnsiTheme="majorHAnsi" w:cstheme="majorHAnsi"/>
        </w:rPr>
        <w:t>;</w:t>
      </w:r>
    </w:p>
    <w:p w14:paraId="23E6DE6E" w14:textId="0029CFF5" w:rsidR="001730EB"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 xml:space="preserve">Provide on a strictly confidential basis medical reports for treatment received as a result of the </w:t>
      </w:r>
      <w:r w:rsidR="004E2AA3">
        <w:rPr>
          <w:rFonts w:asciiTheme="majorHAnsi" w:hAnsiTheme="majorHAnsi" w:cstheme="majorHAnsi"/>
        </w:rPr>
        <w:t>harassment</w:t>
      </w:r>
      <w:r w:rsidRPr="00282525">
        <w:rPr>
          <w:rFonts w:asciiTheme="majorHAnsi" w:hAnsiTheme="majorHAnsi" w:cstheme="majorHAnsi"/>
        </w:rPr>
        <w:t>;</w:t>
      </w:r>
    </w:p>
    <w:p w14:paraId="29105894" w14:textId="5ECF101D" w:rsidR="001074D8" w:rsidRPr="00282525" w:rsidRDefault="001730EB"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Make inquiries on the progress of the investigation and outcome</w:t>
      </w:r>
      <w:r w:rsidR="001074D8" w:rsidRPr="00282525">
        <w:rPr>
          <w:rFonts w:asciiTheme="majorHAnsi" w:hAnsiTheme="majorHAnsi" w:cstheme="majorHAnsi"/>
        </w:rPr>
        <w:t xml:space="preserve"> – any administrative delay will add to the moral injury; and</w:t>
      </w:r>
    </w:p>
    <w:p w14:paraId="4140EA30" w14:textId="13A5F60E" w:rsidR="0052343B" w:rsidRPr="00282525" w:rsidRDefault="001074D8" w:rsidP="001730EB">
      <w:pPr>
        <w:pStyle w:val="Default"/>
        <w:numPr>
          <w:ilvl w:val="0"/>
          <w:numId w:val="1"/>
        </w:numPr>
        <w:jc w:val="both"/>
        <w:rPr>
          <w:rFonts w:asciiTheme="majorHAnsi" w:hAnsiTheme="majorHAnsi" w:cstheme="majorHAnsi"/>
        </w:rPr>
      </w:pPr>
      <w:r w:rsidRPr="00282525">
        <w:rPr>
          <w:rFonts w:asciiTheme="majorHAnsi" w:hAnsiTheme="majorHAnsi" w:cstheme="majorHAnsi"/>
        </w:rPr>
        <w:t>Become familiar with the internal appeal rules in order to preserve important rights in the event the organization does not resolve the matter to the victim’s satisfaction</w:t>
      </w:r>
      <w:r w:rsidR="001730EB" w:rsidRPr="00282525">
        <w:rPr>
          <w:rFonts w:asciiTheme="majorHAnsi" w:hAnsiTheme="majorHAnsi" w:cstheme="majorHAnsi"/>
        </w:rPr>
        <w:t>.</w:t>
      </w:r>
    </w:p>
    <w:p w14:paraId="5C8EB773" w14:textId="5242533D" w:rsidR="00FF7A09" w:rsidRPr="00282525" w:rsidRDefault="00FF7A09" w:rsidP="00BF0B14">
      <w:pPr>
        <w:pStyle w:val="Default"/>
        <w:rPr>
          <w:rFonts w:asciiTheme="majorHAnsi" w:hAnsiTheme="majorHAnsi" w:cstheme="majorHAnsi"/>
        </w:rPr>
      </w:pPr>
    </w:p>
    <w:p w14:paraId="6A47D11E" w14:textId="53DC7AD7" w:rsidR="00B92219" w:rsidRPr="00282525" w:rsidRDefault="00282525" w:rsidP="00CE7657">
      <w:pPr>
        <w:pStyle w:val="Default"/>
        <w:jc w:val="both"/>
        <w:rPr>
          <w:rStyle w:val="Emphasis"/>
          <w:rFonts w:asciiTheme="majorHAnsi" w:hAnsiTheme="majorHAnsi" w:cstheme="majorHAnsi"/>
          <w:i w:val="0"/>
        </w:rPr>
      </w:pPr>
      <w:r w:rsidRPr="00282525">
        <w:rPr>
          <w:rStyle w:val="Emphasis"/>
          <w:rFonts w:asciiTheme="majorHAnsi" w:hAnsiTheme="majorHAnsi" w:cstheme="majorHAnsi"/>
          <w:i w:val="0"/>
        </w:rPr>
        <w:t xml:space="preserve">This case also shows that it </w:t>
      </w:r>
      <w:r w:rsidR="004829A6">
        <w:rPr>
          <w:rStyle w:val="Emphasis"/>
          <w:rFonts w:asciiTheme="majorHAnsi" w:hAnsiTheme="majorHAnsi" w:cstheme="majorHAnsi"/>
          <w:i w:val="0"/>
        </w:rPr>
        <w:t>should</w:t>
      </w:r>
      <w:r w:rsidRPr="00282525">
        <w:rPr>
          <w:rStyle w:val="Emphasis"/>
          <w:rFonts w:asciiTheme="majorHAnsi" w:hAnsiTheme="majorHAnsi" w:cstheme="majorHAnsi"/>
          <w:i w:val="0"/>
        </w:rPr>
        <w:t xml:space="preserve"> not be unusual, given the different procedures and burdens of proof, </w:t>
      </w:r>
      <w:r>
        <w:rPr>
          <w:rStyle w:val="Emphasis"/>
          <w:rFonts w:asciiTheme="majorHAnsi" w:hAnsiTheme="majorHAnsi" w:cstheme="majorHAnsi"/>
          <w:i w:val="0"/>
        </w:rPr>
        <w:t>that</w:t>
      </w:r>
      <w:r w:rsidRPr="00282525">
        <w:rPr>
          <w:rStyle w:val="Emphasis"/>
          <w:rFonts w:asciiTheme="majorHAnsi" w:hAnsiTheme="majorHAnsi" w:cstheme="majorHAnsi"/>
          <w:i w:val="0"/>
        </w:rPr>
        <w:t xml:space="preserve"> the harasser is not found guilty of misconduct even though the victim is able to show he/she was harassed.</w:t>
      </w:r>
      <w:r w:rsidR="004E2AA3">
        <w:rPr>
          <w:rStyle w:val="Emphasis"/>
          <w:rFonts w:asciiTheme="majorHAnsi" w:hAnsiTheme="majorHAnsi" w:cstheme="majorHAnsi"/>
          <w:i w:val="0"/>
        </w:rPr>
        <w:t xml:space="preserve">  It also demonstrates the continuing difficulties of international organizations to resolve harassme</w:t>
      </w:r>
      <w:r w:rsidR="004829A6">
        <w:rPr>
          <w:rStyle w:val="Emphasis"/>
          <w:rFonts w:asciiTheme="majorHAnsi" w:hAnsiTheme="majorHAnsi" w:cstheme="majorHAnsi"/>
          <w:i w:val="0"/>
        </w:rPr>
        <w:t>nt-related grievances, and the victim will oftentimes be subject to further emotional stress and possible retaliation.</w:t>
      </w:r>
    </w:p>
    <w:p w14:paraId="7D33005F" w14:textId="417192D1" w:rsidR="00B92219" w:rsidRPr="00282525" w:rsidRDefault="00B92219" w:rsidP="00CE7657">
      <w:pPr>
        <w:pStyle w:val="Default"/>
        <w:jc w:val="both"/>
        <w:rPr>
          <w:rStyle w:val="Emphasis"/>
          <w:rFonts w:asciiTheme="majorHAnsi" w:hAnsiTheme="majorHAnsi" w:cstheme="majorHAnsi"/>
          <w:i w:val="0"/>
        </w:rPr>
      </w:pPr>
    </w:p>
    <w:p w14:paraId="2A38DAA6" w14:textId="77777777" w:rsidR="00B92219" w:rsidRDefault="00B92219" w:rsidP="00CE7657">
      <w:pPr>
        <w:pStyle w:val="Default"/>
        <w:jc w:val="both"/>
        <w:rPr>
          <w:rStyle w:val="Emphasis"/>
          <w:rFonts w:asciiTheme="minorHAnsi" w:hAnsiTheme="minorHAnsi" w:cstheme="minorHAnsi"/>
          <w:i w:val="0"/>
        </w:rPr>
      </w:pPr>
    </w:p>
    <w:p w14:paraId="3D25D2C4" w14:textId="7493682E" w:rsidR="00CE7657" w:rsidRDefault="00CE7657" w:rsidP="00CE7657">
      <w:pPr>
        <w:pStyle w:val="Default"/>
        <w:jc w:val="both"/>
        <w:rPr>
          <w:rStyle w:val="Emphasis"/>
          <w:rFonts w:asciiTheme="minorHAnsi" w:hAnsiTheme="minorHAnsi" w:cstheme="minorHAnsi"/>
          <w:i w:val="0"/>
        </w:rPr>
      </w:pPr>
    </w:p>
    <w:p w14:paraId="5610B2C2" w14:textId="77777777" w:rsidR="00CE7657" w:rsidRPr="00CE7657" w:rsidRDefault="00CE7657" w:rsidP="00CE7657">
      <w:pPr>
        <w:pStyle w:val="Default"/>
        <w:jc w:val="both"/>
        <w:rPr>
          <w:rStyle w:val="Emphasis"/>
          <w:i w:val="0"/>
          <w:iCs w:val="0"/>
          <w:sz w:val="22"/>
          <w:szCs w:val="22"/>
        </w:rPr>
      </w:pPr>
    </w:p>
    <w:p w14:paraId="33CEC714" w14:textId="2366CD7B" w:rsidR="00316982" w:rsidRDefault="00316982" w:rsidP="007359EC">
      <w:pPr>
        <w:pStyle w:val="Default"/>
        <w:jc w:val="both"/>
        <w:rPr>
          <w:rStyle w:val="Emphasis"/>
          <w:rFonts w:asciiTheme="minorHAnsi" w:hAnsiTheme="minorHAnsi" w:cstheme="minorHAnsi"/>
          <w:i w:val="0"/>
        </w:rPr>
      </w:pPr>
    </w:p>
    <w:p w14:paraId="39E59BFC" w14:textId="77777777" w:rsidR="00316982" w:rsidRPr="007359EC" w:rsidRDefault="00316982" w:rsidP="007359EC">
      <w:pPr>
        <w:pStyle w:val="Default"/>
        <w:jc w:val="both"/>
        <w:rPr>
          <w:rStyle w:val="Emphasis"/>
          <w:rFonts w:asciiTheme="minorHAnsi" w:hAnsiTheme="minorHAnsi" w:cstheme="minorHAnsi"/>
          <w:i w:val="0"/>
        </w:rPr>
      </w:pPr>
    </w:p>
    <w:sectPr w:rsidR="00316982" w:rsidRPr="007359E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105A" w14:textId="77777777" w:rsidR="00533B4A" w:rsidRDefault="00533B4A" w:rsidP="00786435">
      <w:pPr>
        <w:spacing w:after="0" w:line="240" w:lineRule="auto"/>
      </w:pPr>
      <w:r>
        <w:separator/>
      </w:r>
    </w:p>
  </w:endnote>
  <w:endnote w:type="continuationSeparator" w:id="0">
    <w:p w14:paraId="0CA56DCC" w14:textId="77777777" w:rsidR="00533B4A" w:rsidRDefault="00533B4A" w:rsidP="0078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51562"/>
      <w:docPartObj>
        <w:docPartGallery w:val="Page Numbers (Bottom of Page)"/>
        <w:docPartUnique/>
      </w:docPartObj>
    </w:sdtPr>
    <w:sdtEndPr>
      <w:rPr>
        <w:noProof/>
      </w:rPr>
    </w:sdtEndPr>
    <w:sdtContent>
      <w:p w14:paraId="505493EA" w14:textId="5E3DF79F" w:rsidR="00442F0A" w:rsidRDefault="00442F0A">
        <w:pPr>
          <w:pStyle w:val="Footer"/>
          <w:jc w:val="center"/>
        </w:pPr>
        <w:r>
          <w:fldChar w:fldCharType="begin"/>
        </w:r>
        <w:r>
          <w:instrText xml:space="preserve"> PAGE   \* MERGEFORMAT </w:instrText>
        </w:r>
        <w:r>
          <w:fldChar w:fldCharType="separate"/>
        </w:r>
        <w:r w:rsidR="00714E5B">
          <w:rPr>
            <w:noProof/>
          </w:rPr>
          <w:t>1</w:t>
        </w:r>
        <w:r>
          <w:rPr>
            <w:noProof/>
          </w:rPr>
          <w:fldChar w:fldCharType="end"/>
        </w:r>
      </w:p>
    </w:sdtContent>
  </w:sdt>
  <w:p w14:paraId="404B7A7D" w14:textId="77777777" w:rsidR="00442F0A" w:rsidRDefault="0044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8712" w14:textId="77777777" w:rsidR="00533B4A" w:rsidRDefault="00533B4A" w:rsidP="00786435">
      <w:pPr>
        <w:spacing w:after="0" w:line="240" w:lineRule="auto"/>
      </w:pPr>
      <w:r>
        <w:separator/>
      </w:r>
    </w:p>
  </w:footnote>
  <w:footnote w:type="continuationSeparator" w:id="0">
    <w:p w14:paraId="29F1A800" w14:textId="77777777" w:rsidR="00533B4A" w:rsidRDefault="00533B4A" w:rsidP="00786435">
      <w:pPr>
        <w:spacing w:after="0" w:line="240" w:lineRule="auto"/>
      </w:pPr>
      <w:r>
        <w:continuationSeparator/>
      </w:r>
    </w:p>
  </w:footnote>
  <w:footnote w:id="1">
    <w:p w14:paraId="4A425E05" w14:textId="77777777" w:rsidR="00144E78" w:rsidRPr="00786435" w:rsidRDefault="00144E78" w:rsidP="00144E78">
      <w:pPr>
        <w:pStyle w:val="FootnoteText"/>
        <w:jc w:val="both"/>
        <w:rPr>
          <w:rFonts w:asciiTheme="majorHAnsi" w:hAnsiTheme="majorHAnsi" w:cstheme="majorHAnsi"/>
          <w:lang w:val="en-GB"/>
        </w:rPr>
      </w:pPr>
      <w:r w:rsidRPr="00786435">
        <w:rPr>
          <w:rStyle w:val="FootnoteReference"/>
          <w:rFonts w:asciiTheme="majorHAnsi" w:hAnsiTheme="majorHAnsi" w:cstheme="majorHAnsi"/>
        </w:rPr>
        <w:footnoteRef/>
      </w:r>
      <w:r>
        <w:rPr>
          <w:rFonts w:asciiTheme="majorHAnsi" w:hAnsiTheme="majorHAnsi" w:cstheme="majorHAnsi"/>
          <w:lang w:val="en-GB"/>
        </w:rPr>
        <w:t xml:space="preserve"> The author</w:t>
      </w:r>
      <w:r w:rsidRPr="00786435">
        <w:rPr>
          <w:rFonts w:asciiTheme="majorHAnsi" w:hAnsiTheme="majorHAnsi" w:cstheme="majorHAnsi"/>
          <w:lang w:val="en-GB"/>
        </w:rPr>
        <w:t xml:space="preserve"> represented the victim in this appeal as well as the appeal cited by the Tribunal, Judgment 2524, which established </w:t>
      </w:r>
      <w:r>
        <w:rPr>
          <w:rFonts w:asciiTheme="majorHAnsi" w:hAnsiTheme="majorHAnsi" w:cstheme="majorHAnsi"/>
          <w:lang w:val="en-GB"/>
        </w:rPr>
        <w:t xml:space="preserve">for the first time </w:t>
      </w:r>
      <w:r w:rsidRPr="00786435">
        <w:rPr>
          <w:rFonts w:asciiTheme="majorHAnsi" w:hAnsiTheme="majorHAnsi" w:cstheme="majorHAnsi"/>
          <w:lang w:val="en-GB"/>
        </w:rPr>
        <w:t xml:space="preserve">that </w:t>
      </w:r>
      <w:r>
        <w:rPr>
          <w:rFonts w:asciiTheme="majorHAnsi" w:hAnsiTheme="majorHAnsi" w:cstheme="majorHAnsi"/>
          <w:lang w:val="en-GB"/>
        </w:rPr>
        <w:t>victims</w:t>
      </w:r>
      <w:r w:rsidRPr="00786435">
        <w:rPr>
          <w:rFonts w:asciiTheme="majorHAnsi" w:hAnsiTheme="majorHAnsi" w:cstheme="majorHAnsi"/>
          <w:lang w:val="en-GB"/>
        </w:rPr>
        <w:t xml:space="preserve"> of harassment do not have to prove intent on the part of the harasser.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3F7B"/>
    <w:multiLevelType w:val="hybridMultilevel"/>
    <w:tmpl w:val="7D545C3E"/>
    <w:lvl w:ilvl="0" w:tplc="2E4208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38"/>
    <w:rsid w:val="000321AC"/>
    <w:rsid w:val="000938D8"/>
    <w:rsid w:val="000962B2"/>
    <w:rsid w:val="000B2673"/>
    <w:rsid w:val="000D4A85"/>
    <w:rsid w:val="000E3AC4"/>
    <w:rsid w:val="001074D8"/>
    <w:rsid w:val="001251BC"/>
    <w:rsid w:val="00144E78"/>
    <w:rsid w:val="00147C2A"/>
    <w:rsid w:val="001730EB"/>
    <w:rsid w:val="001C772D"/>
    <w:rsid w:val="001D63C8"/>
    <w:rsid w:val="001E0931"/>
    <w:rsid w:val="00213FC6"/>
    <w:rsid w:val="002177DD"/>
    <w:rsid w:val="00222604"/>
    <w:rsid w:val="00282525"/>
    <w:rsid w:val="002C0EBE"/>
    <w:rsid w:val="002C149B"/>
    <w:rsid w:val="002D3143"/>
    <w:rsid w:val="00316982"/>
    <w:rsid w:val="0033498D"/>
    <w:rsid w:val="00337850"/>
    <w:rsid w:val="00386BDE"/>
    <w:rsid w:val="003B1D79"/>
    <w:rsid w:val="003F3128"/>
    <w:rsid w:val="004300B7"/>
    <w:rsid w:val="00442F0A"/>
    <w:rsid w:val="00462C4B"/>
    <w:rsid w:val="004829A6"/>
    <w:rsid w:val="004B28BF"/>
    <w:rsid w:val="004E2AA3"/>
    <w:rsid w:val="004E7413"/>
    <w:rsid w:val="004F27E7"/>
    <w:rsid w:val="0050425D"/>
    <w:rsid w:val="0052343B"/>
    <w:rsid w:val="00533B4A"/>
    <w:rsid w:val="0059095B"/>
    <w:rsid w:val="005C7C46"/>
    <w:rsid w:val="005D5B3D"/>
    <w:rsid w:val="006024A2"/>
    <w:rsid w:val="00603084"/>
    <w:rsid w:val="0065629C"/>
    <w:rsid w:val="00675988"/>
    <w:rsid w:val="006F33F1"/>
    <w:rsid w:val="00702091"/>
    <w:rsid w:val="00714E5B"/>
    <w:rsid w:val="007359EC"/>
    <w:rsid w:val="00746615"/>
    <w:rsid w:val="007522CB"/>
    <w:rsid w:val="00786435"/>
    <w:rsid w:val="007A582E"/>
    <w:rsid w:val="007A5B74"/>
    <w:rsid w:val="007B48C1"/>
    <w:rsid w:val="007C2038"/>
    <w:rsid w:val="00835DC6"/>
    <w:rsid w:val="00852A2F"/>
    <w:rsid w:val="00874E7C"/>
    <w:rsid w:val="0087577F"/>
    <w:rsid w:val="008912C3"/>
    <w:rsid w:val="00897680"/>
    <w:rsid w:val="008C548E"/>
    <w:rsid w:val="008E6E50"/>
    <w:rsid w:val="0091704B"/>
    <w:rsid w:val="009240DA"/>
    <w:rsid w:val="009717DD"/>
    <w:rsid w:val="009749E6"/>
    <w:rsid w:val="009A23C2"/>
    <w:rsid w:val="009A367D"/>
    <w:rsid w:val="00A14396"/>
    <w:rsid w:val="00A64FAC"/>
    <w:rsid w:val="00A871CA"/>
    <w:rsid w:val="00A96ED2"/>
    <w:rsid w:val="00A97CA0"/>
    <w:rsid w:val="00AE526E"/>
    <w:rsid w:val="00B00FF5"/>
    <w:rsid w:val="00B04EA0"/>
    <w:rsid w:val="00B13DE1"/>
    <w:rsid w:val="00B5228D"/>
    <w:rsid w:val="00B878D0"/>
    <w:rsid w:val="00B92219"/>
    <w:rsid w:val="00BE1688"/>
    <w:rsid w:val="00BE6138"/>
    <w:rsid w:val="00BF0B14"/>
    <w:rsid w:val="00C3480E"/>
    <w:rsid w:val="00C74F94"/>
    <w:rsid w:val="00C91909"/>
    <w:rsid w:val="00C9468B"/>
    <w:rsid w:val="00CA5529"/>
    <w:rsid w:val="00CC68D3"/>
    <w:rsid w:val="00CE39BA"/>
    <w:rsid w:val="00CE7657"/>
    <w:rsid w:val="00CF3050"/>
    <w:rsid w:val="00D7554F"/>
    <w:rsid w:val="00D93B60"/>
    <w:rsid w:val="00DA367D"/>
    <w:rsid w:val="00E36493"/>
    <w:rsid w:val="00E50DE6"/>
    <w:rsid w:val="00E7449D"/>
    <w:rsid w:val="00F92BB7"/>
    <w:rsid w:val="00FA485B"/>
    <w:rsid w:val="00FC1B62"/>
    <w:rsid w:val="00FD3700"/>
    <w:rsid w:val="00FF7A0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4C7DD"/>
  <w15:chartTrackingRefBased/>
  <w15:docId w15:val="{280ED8A1-C86A-494E-840E-94160B22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48C1"/>
    <w:rPr>
      <w:i/>
      <w:iCs/>
    </w:rPr>
  </w:style>
  <w:style w:type="paragraph" w:styleId="NoSpacing">
    <w:name w:val="No Spacing"/>
    <w:uiPriority w:val="1"/>
    <w:qFormat/>
    <w:rsid w:val="007B48C1"/>
    <w:pPr>
      <w:spacing w:after="0" w:line="240" w:lineRule="auto"/>
    </w:pPr>
    <w:rPr>
      <w:rFonts w:ascii="Calibri" w:eastAsia="Calibri" w:hAnsi="Calibri" w:cs="Times New Roman"/>
      <w:lang w:val="en-GB"/>
    </w:rPr>
  </w:style>
  <w:style w:type="paragraph" w:customStyle="1" w:styleId="Default">
    <w:name w:val="Default"/>
    <w:rsid w:val="007359E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786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435"/>
    <w:rPr>
      <w:sz w:val="20"/>
      <w:szCs w:val="20"/>
    </w:rPr>
  </w:style>
  <w:style w:type="character" w:styleId="FootnoteReference">
    <w:name w:val="footnote reference"/>
    <w:basedOn w:val="DefaultParagraphFont"/>
    <w:uiPriority w:val="99"/>
    <w:semiHidden/>
    <w:unhideWhenUsed/>
    <w:rsid w:val="00786435"/>
    <w:rPr>
      <w:vertAlign w:val="superscript"/>
    </w:rPr>
  </w:style>
  <w:style w:type="paragraph" w:styleId="Header">
    <w:name w:val="header"/>
    <w:basedOn w:val="Normal"/>
    <w:link w:val="HeaderChar"/>
    <w:uiPriority w:val="99"/>
    <w:unhideWhenUsed/>
    <w:rsid w:val="00442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0A"/>
  </w:style>
  <w:style w:type="paragraph" w:styleId="Footer">
    <w:name w:val="footer"/>
    <w:basedOn w:val="Normal"/>
    <w:link w:val="FooterChar"/>
    <w:uiPriority w:val="99"/>
    <w:unhideWhenUsed/>
    <w:rsid w:val="00442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0A"/>
  </w:style>
  <w:style w:type="paragraph" w:styleId="Subtitle">
    <w:name w:val="Subtitle"/>
    <w:basedOn w:val="Normal"/>
    <w:next w:val="Normal"/>
    <w:link w:val="SubtitleChar"/>
    <w:uiPriority w:val="11"/>
    <w:qFormat/>
    <w:rsid w:val="00147C2A"/>
    <w:pPr>
      <w:suppressAutoHyphens/>
      <w:spacing w:after="60" w:line="240" w:lineRule="auto"/>
      <w:jc w:val="center"/>
      <w:outlineLvl w:val="1"/>
    </w:pPr>
    <w:rPr>
      <w:rFonts w:ascii="Cambria" w:eastAsia="Times New Roman" w:hAnsi="Cambria" w:cs="Mangal"/>
      <w:kern w:val="1"/>
      <w:sz w:val="24"/>
      <w:szCs w:val="21"/>
      <w:lang w:val="en" w:eastAsia="hi-IN" w:bidi="hi-IN"/>
    </w:rPr>
  </w:style>
  <w:style w:type="character" w:customStyle="1" w:styleId="SubtitleChar">
    <w:name w:val="Subtitle Char"/>
    <w:basedOn w:val="DefaultParagraphFont"/>
    <w:link w:val="Subtitle"/>
    <w:uiPriority w:val="11"/>
    <w:rsid w:val="00147C2A"/>
    <w:rPr>
      <w:rFonts w:ascii="Cambria" w:eastAsia="Times New Roman" w:hAnsi="Cambria" w:cs="Mangal"/>
      <w:kern w:val="1"/>
      <w:sz w:val="24"/>
      <w:szCs w:val="21"/>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75B226A63A48AEC0CB97AA6DCC35" ma:contentTypeVersion="18" ma:contentTypeDescription="Create a new document." ma:contentTypeScope="" ma:versionID="458b110fe15b2647713543c4bcd7bf7b">
  <xsd:schema xmlns:xsd="http://www.w3.org/2001/XMLSchema" xmlns:xs="http://www.w3.org/2001/XMLSchema" xmlns:p="http://schemas.microsoft.com/office/2006/metadata/properties" xmlns:ns1="http://schemas.microsoft.com/sharepoint/v3" xmlns:ns2="5faa461a-c445-4c9d-8c26-e9c886ca36a5" xmlns:ns3="a6c789ba-b7b9-46f6-8b61-83a5a6c58e9c" targetNamespace="http://schemas.microsoft.com/office/2006/metadata/properties" ma:root="true" ma:fieldsID="a752c28c1830c0e887176073ddb2d707" ns1:_="" ns2:_="" ns3:_="">
    <xsd:import namespace="http://schemas.microsoft.com/sharepoint/v3"/>
    <xsd:import namespace="5faa461a-c445-4c9d-8c26-e9c886ca36a5"/>
    <xsd:import namespace="a6c789ba-b7b9-46f6-8b61-83a5a6c5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dlc_Exempt" minOccurs="0"/>
                <xsd:element ref="ns1:_dlc_ExpireDateSaved" minOccurs="0"/>
                <xsd:element ref="ns1:_dlc_Expire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aa461a-c445-4c9d-8c26-e9c886ca3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789ba-b7b9-46f6-8b61-83a5a6c58e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FICSA’s Document Management System with retention policy of 5 years, and functional classification scheme of files. </p:Description>
  <p:Statement/>
  <p:PolicyItems>
    <p:PolicyItem featureId="Microsoft.Office.RecordsManagement.PolicyFeatures.Expiration" staticId="0x010100924975B226A63A48AEC0CB97AA6DCC35|645367742" UniqueId="02800fce-4e5c-4398-9719-706126914c2d">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6F03-FFF1-4F94-8614-BF1D8AE2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a461a-c445-4c9d-8c26-e9c886ca36a5"/>
    <ds:schemaRef ds:uri="a6c789ba-b7b9-46f6-8b61-83a5a6c5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9C3C3-2D52-4EE4-80A5-43509CF2A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6EF62-786A-4FDA-BF58-D575099823B3}">
  <ds:schemaRefs>
    <ds:schemaRef ds:uri="http://schemas.microsoft.com/sharepoint/v3/contenttype/forms"/>
  </ds:schemaRefs>
</ds:datastoreItem>
</file>

<file path=customXml/itemProps4.xml><?xml version="1.0" encoding="utf-8"?>
<ds:datastoreItem xmlns:ds="http://schemas.openxmlformats.org/officeDocument/2006/customXml" ds:itemID="{2C4E7544-EEBD-4D36-BF73-1CAE073FA793}">
  <ds:schemaRefs>
    <ds:schemaRef ds:uri="office.server.policy"/>
  </ds:schemaRefs>
</ds:datastoreItem>
</file>

<file path=customXml/itemProps5.xml><?xml version="1.0" encoding="utf-8"?>
<ds:datastoreItem xmlns:ds="http://schemas.openxmlformats.org/officeDocument/2006/customXml" ds:itemID="{37B78FD8-6F60-4917-A40B-F252363F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Fauth</dc:creator>
  <cp:keywords/>
  <dc:description/>
  <cp:lastModifiedBy>Marie-Paule MASSON</cp:lastModifiedBy>
  <cp:revision>2</cp:revision>
  <dcterms:created xsi:type="dcterms:W3CDTF">2020-09-04T09:18:00Z</dcterms:created>
  <dcterms:modified xsi:type="dcterms:W3CDTF">2020-09-04T09:18:00Z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0x010100924975B226A63A48AEC0CB97AA6DCC35</vt:lpwstr>
  </property>
  <property fmtid="{D5CDD505-2E9C-101B-9397-08002B2CF9AE}" pid="3" name="_dlc_policyId">
    <vt:lpwstr>0x010100924975B226A63A48AEC0CB97AA6DCC35|645367742</vt:lpwstr>
  </property>
  <property fmtid="{D5CDD505-2E9C-101B-9397-08002B2CF9AE}" pid="4" name="ItemRetentionFormula">
    <vt:lpwstr/>
  </property>
</Properties>
</file>